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F42A7" w14:textId="77777777" w:rsidR="00E940D1" w:rsidRPr="00E940D1" w:rsidRDefault="00E940D1" w:rsidP="00E940D1">
      <w:pPr>
        <w:jc w:val="center"/>
        <w:rPr>
          <w:b/>
          <w:bCs/>
        </w:rPr>
      </w:pPr>
      <w:r w:rsidRPr="00E940D1">
        <w:rPr>
          <w:b/>
          <w:bCs/>
        </w:rPr>
        <w:t xml:space="preserve">Project Proposal: </w:t>
      </w:r>
      <w:proofErr w:type="spellStart"/>
      <w:r w:rsidRPr="00E940D1">
        <w:rPr>
          <w:b/>
          <w:bCs/>
        </w:rPr>
        <w:t>Wezesha</w:t>
      </w:r>
      <w:proofErr w:type="spellEnd"/>
      <w:r w:rsidRPr="00E940D1">
        <w:rPr>
          <w:b/>
          <w:bCs/>
        </w:rPr>
        <w:t xml:space="preserve"> Jamii Initiative</w:t>
      </w:r>
    </w:p>
    <w:p w14:paraId="171CCE85" w14:textId="015B499B" w:rsidR="00E940D1" w:rsidRPr="00E940D1" w:rsidRDefault="00E940D1" w:rsidP="00E940D1">
      <w:pPr>
        <w:pBdr>
          <w:bottom w:val="single" w:sz="4" w:space="1" w:color="auto"/>
        </w:pBdr>
        <w:spacing w:after="0"/>
        <w:jc w:val="center"/>
        <w:rPr>
          <w:sz w:val="28"/>
          <w:szCs w:val="28"/>
        </w:rPr>
      </w:pPr>
      <w:r w:rsidRPr="00E940D1">
        <w:rPr>
          <w:b/>
          <w:bCs/>
          <w:sz w:val="28"/>
          <w:szCs w:val="28"/>
        </w:rPr>
        <w:t>Title:</w:t>
      </w:r>
      <w:r w:rsidRPr="00E940D1">
        <w:rPr>
          <w:b/>
          <w:bCs/>
          <w:sz w:val="28"/>
          <w:szCs w:val="28"/>
        </w:rPr>
        <w:t xml:space="preserve"> </w:t>
      </w:r>
      <w:r w:rsidRPr="00E940D1">
        <w:rPr>
          <w:b/>
          <w:bCs/>
          <w:sz w:val="28"/>
          <w:szCs w:val="28"/>
        </w:rPr>
        <w:t xml:space="preserve">Pamoja </w:t>
      </w:r>
      <w:proofErr w:type="spellStart"/>
      <w:r w:rsidRPr="00E940D1">
        <w:rPr>
          <w:b/>
          <w:bCs/>
          <w:sz w:val="28"/>
          <w:szCs w:val="28"/>
        </w:rPr>
        <w:t>Twang’aa</w:t>
      </w:r>
      <w:proofErr w:type="spellEnd"/>
      <w:r w:rsidRPr="00E940D1">
        <w:rPr>
          <w:b/>
          <w:bCs/>
          <w:sz w:val="28"/>
          <w:szCs w:val="28"/>
        </w:rPr>
        <w:t>: Power Safety, Integrity and Community Trust</w:t>
      </w:r>
    </w:p>
    <w:p w14:paraId="472B9397" w14:textId="77777777" w:rsidR="00E940D1" w:rsidRDefault="00E940D1" w:rsidP="00E940D1">
      <w:pPr>
        <w:spacing w:after="0"/>
        <w:jc w:val="center"/>
        <w:rPr>
          <w:i/>
          <w:iCs/>
        </w:rPr>
      </w:pPr>
      <w:r w:rsidRPr="00E940D1">
        <w:rPr>
          <w:i/>
          <w:iCs/>
        </w:rPr>
        <w:t>A Staff-Led Community Activation for Safety and Brand Protection</w:t>
      </w:r>
    </w:p>
    <w:p w14:paraId="27B2420B" w14:textId="77777777" w:rsidR="00E940D1" w:rsidRPr="00E940D1" w:rsidRDefault="00E940D1" w:rsidP="00E940D1">
      <w:pPr>
        <w:spacing w:after="0"/>
        <w:jc w:val="center"/>
        <w:rPr>
          <w:i/>
          <w:iCs/>
        </w:rPr>
      </w:pPr>
    </w:p>
    <w:p w14:paraId="6DC9E870" w14:textId="77777777" w:rsidR="00E940D1" w:rsidRPr="00E940D1" w:rsidRDefault="00E940D1" w:rsidP="00E940D1">
      <w:r w:rsidRPr="00E940D1">
        <w:rPr>
          <w:b/>
          <w:bCs/>
        </w:rPr>
        <w:t>Submitted To:</w:t>
      </w:r>
      <w:r w:rsidRPr="00E940D1">
        <w:br/>
        <w:t>Kenya Power Foundation</w:t>
      </w:r>
      <w:r w:rsidRPr="00E940D1">
        <w:br/>
      </w:r>
      <w:proofErr w:type="spellStart"/>
      <w:r w:rsidRPr="00E940D1">
        <w:t>Wezesha</w:t>
      </w:r>
      <w:proofErr w:type="spellEnd"/>
      <w:r w:rsidRPr="00E940D1">
        <w:t xml:space="preserve"> Jamii </w:t>
      </w:r>
      <w:proofErr w:type="spellStart"/>
      <w:r w:rsidRPr="00E940D1">
        <w:t>Programme</w:t>
      </w:r>
      <w:proofErr w:type="spellEnd"/>
    </w:p>
    <w:p w14:paraId="6CD1222D" w14:textId="77777777" w:rsidR="00E940D1" w:rsidRDefault="00E940D1" w:rsidP="00E940D1">
      <w:pPr>
        <w:rPr>
          <w:b/>
          <w:bCs/>
        </w:rPr>
      </w:pPr>
      <w:r w:rsidRPr="00E940D1">
        <w:rPr>
          <w:b/>
          <w:bCs/>
        </w:rPr>
        <w:t>Submitted By:</w:t>
      </w:r>
      <w:r w:rsidRPr="00E940D1">
        <w:br/>
      </w:r>
      <w:r w:rsidRPr="00E940D1">
        <w:rPr>
          <w:b/>
          <w:bCs/>
        </w:rPr>
        <w:t>Christopher Khayere (Staff No. KPL21233)</w:t>
      </w:r>
    </w:p>
    <w:p w14:paraId="75E6EFB2" w14:textId="2E1916D4" w:rsidR="00E940D1" w:rsidRPr="00E940D1" w:rsidRDefault="00E940D1" w:rsidP="00E940D1">
      <w:r>
        <w:t>14/01/2026</w:t>
      </w:r>
    </w:p>
    <w:p w14:paraId="38886919" w14:textId="77777777" w:rsidR="00E940D1" w:rsidRDefault="00E940D1" w:rsidP="00E940D1"/>
    <w:p w14:paraId="39FBE667" w14:textId="138D8DDF" w:rsidR="00E940D1" w:rsidRPr="00E940D1" w:rsidRDefault="00E940D1" w:rsidP="00E940D1">
      <w:pPr>
        <w:rPr>
          <w:b/>
          <w:bCs/>
        </w:rPr>
      </w:pPr>
      <w:r w:rsidRPr="00E940D1">
        <w:rPr>
          <w:b/>
          <w:bCs/>
        </w:rPr>
        <w:t>1.0 Executive Summary</w:t>
      </w:r>
    </w:p>
    <w:p w14:paraId="0FC2C61A" w14:textId="76F594AC" w:rsidR="00E940D1" w:rsidRPr="00E940D1" w:rsidRDefault="00E940D1" w:rsidP="00E940D1">
      <w:pPr>
        <w:jc w:val="both"/>
      </w:pPr>
      <w:r w:rsidRPr="00E940D1">
        <w:t xml:space="preserve">This project is a community-level activation of the national Pamoja </w:t>
      </w:r>
      <w:proofErr w:type="spellStart"/>
      <w:r w:rsidRPr="00E940D1">
        <w:t>Twang’aa</w:t>
      </w:r>
      <w:proofErr w:type="spellEnd"/>
      <w:r w:rsidRPr="00E940D1">
        <w:t> campaign and a staff-led reinforcement of the internal </w:t>
      </w:r>
      <w:proofErr w:type="spellStart"/>
      <w:r w:rsidRPr="00E940D1">
        <w:rPr>
          <w:b/>
          <w:bCs/>
        </w:rPr>
        <w:t>Watu</w:t>
      </w:r>
      <w:proofErr w:type="spellEnd"/>
      <w:r w:rsidRPr="00E940D1">
        <w:rPr>
          <w:b/>
          <w:bCs/>
        </w:rPr>
        <w:t xml:space="preserve"> </w:t>
      </w:r>
      <w:proofErr w:type="spellStart"/>
      <w:r w:rsidRPr="00E940D1">
        <w:rPr>
          <w:b/>
          <w:bCs/>
        </w:rPr>
        <w:t>wa</w:t>
      </w:r>
      <w:proofErr w:type="spellEnd"/>
      <w:r w:rsidRPr="00E940D1">
        <w:rPr>
          <w:b/>
          <w:bCs/>
        </w:rPr>
        <w:t xml:space="preserve"> Power, </w:t>
      </w:r>
      <w:proofErr w:type="spellStart"/>
      <w:r w:rsidRPr="00E940D1">
        <w:rPr>
          <w:b/>
          <w:bCs/>
        </w:rPr>
        <w:t>Tusichome</w:t>
      </w:r>
      <w:proofErr w:type="spellEnd"/>
      <w:r w:rsidRPr="00E940D1">
        <w:rPr>
          <w:b/>
          <w:bCs/>
        </w:rPr>
        <w:t xml:space="preserve"> Brand</w:t>
      </w:r>
      <w:r w:rsidRPr="00E940D1">
        <w:t> initiative. It seeks to address the critical issues of unsafe electrical practices, illegal connections and quack electricians that endanger lives, cause revenue loss and damage Kenya Power’s brand reputation. Through </w:t>
      </w:r>
      <w:r w:rsidRPr="00E940D1">
        <w:rPr>
          <w:b/>
          <w:bCs/>
        </w:rPr>
        <w:t xml:space="preserve">Pamoja </w:t>
      </w:r>
      <w:proofErr w:type="spellStart"/>
      <w:r w:rsidRPr="00E940D1">
        <w:rPr>
          <w:b/>
          <w:bCs/>
        </w:rPr>
        <w:t>Twang’aa</w:t>
      </w:r>
      <w:proofErr w:type="spellEnd"/>
      <w:r w:rsidRPr="00E940D1">
        <w:rPr>
          <w:b/>
          <w:bCs/>
        </w:rPr>
        <w:t xml:space="preserve"> Community Forums, </w:t>
      </w:r>
      <w:proofErr w:type="spellStart"/>
      <w:r w:rsidRPr="00E940D1">
        <w:rPr>
          <w:b/>
          <w:bCs/>
        </w:rPr>
        <w:t>Tusichome</w:t>
      </w:r>
      <w:proofErr w:type="spellEnd"/>
      <w:r w:rsidRPr="00E940D1">
        <w:rPr>
          <w:b/>
          <w:bCs/>
        </w:rPr>
        <w:t xml:space="preserve"> Brand Integrity Talks</w:t>
      </w:r>
      <w:r w:rsidRPr="00E940D1">
        <w:t> and practical safety demonstrations, the initiative will empower </w:t>
      </w:r>
      <w:r w:rsidRPr="00E940D1">
        <w:rPr>
          <w:b/>
          <w:bCs/>
        </w:rPr>
        <w:t>East Wanga, Mumias East</w:t>
      </w:r>
      <w:r w:rsidRPr="00E940D1">
        <w:t xml:space="preserve"> residents to use electricity safely and legally. The project will enhance public safety, protect revenue and strengthen trust between Kenya Power and the community, with documented learnings for replication in other Pamoja </w:t>
      </w:r>
      <w:proofErr w:type="spellStart"/>
      <w:r w:rsidRPr="00E940D1">
        <w:t>Twang’aa</w:t>
      </w:r>
      <w:proofErr w:type="spellEnd"/>
      <w:r w:rsidRPr="00E940D1">
        <w:t xml:space="preserve"> focus areas.</w:t>
      </w:r>
    </w:p>
    <w:p w14:paraId="6D494174" w14:textId="46557AF4" w:rsidR="00E940D1" w:rsidRPr="00E940D1" w:rsidRDefault="00E940D1" w:rsidP="00E940D1">
      <w:pPr>
        <w:rPr>
          <w:b/>
          <w:bCs/>
        </w:rPr>
      </w:pPr>
      <w:r w:rsidRPr="00E940D1">
        <w:rPr>
          <w:b/>
          <w:bCs/>
        </w:rPr>
        <w:t>2.0 Background and Rationale</w:t>
      </w:r>
    </w:p>
    <w:p w14:paraId="2E60F215" w14:textId="27DAB6BA" w:rsidR="00E940D1" w:rsidRPr="00E940D1" w:rsidRDefault="00E940D1" w:rsidP="00E940D1">
      <w:pPr>
        <w:jc w:val="both"/>
      </w:pPr>
      <w:r w:rsidRPr="00E940D1">
        <w:t>Kenya Power’s </w:t>
      </w:r>
      <w:r w:rsidRPr="00E940D1">
        <w:rPr>
          <w:b/>
          <w:bCs/>
        </w:rPr>
        <w:t xml:space="preserve">Pamoja </w:t>
      </w:r>
      <w:proofErr w:type="spellStart"/>
      <w:r w:rsidRPr="00E940D1">
        <w:rPr>
          <w:b/>
          <w:bCs/>
        </w:rPr>
        <w:t>Twang’aa</w:t>
      </w:r>
      <w:proofErr w:type="spellEnd"/>
      <w:r w:rsidRPr="00E940D1">
        <w:t> campaign emphasizes shared responsibility and public sensitization on electricity safety, while the </w:t>
      </w:r>
      <w:proofErr w:type="spellStart"/>
      <w:r w:rsidRPr="00E940D1">
        <w:rPr>
          <w:b/>
          <w:bCs/>
        </w:rPr>
        <w:t>Watu</w:t>
      </w:r>
      <w:proofErr w:type="spellEnd"/>
      <w:r w:rsidRPr="00E940D1">
        <w:rPr>
          <w:b/>
          <w:bCs/>
        </w:rPr>
        <w:t xml:space="preserve"> </w:t>
      </w:r>
      <w:proofErr w:type="spellStart"/>
      <w:r w:rsidRPr="00E940D1">
        <w:rPr>
          <w:b/>
          <w:bCs/>
        </w:rPr>
        <w:t>wa</w:t>
      </w:r>
      <w:proofErr w:type="spellEnd"/>
      <w:r w:rsidRPr="00E940D1">
        <w:rPr>
          <w:b/>
          <w:bCs/>
        </w:rPr>
        <w:t xml:space="preserve"> Power, </w:t>
      </w:r>
      <w:proofErr w:type="spellStart"/>
      <w:r w:rsidRPr="00E940D1">
        <w:rPr>
          <w:b/>
          <w:bCs/>
        </w:rPr>
        <w:t>Tusichome</w:t>
      </w:r>
      <w:proofErr w:type="spellEnd"/>
      <w:r w:rsidRPr="00E940D1">
        <w:rPr>
          <w:b/>
          <w:bCs/>
        </w:rPr>
        <w:t xml:space="preserve"> Brand</w:t>
      </w:r>
      <w:r w:rsidRPr="00E940D1">
        <w:t> campaign focuses on internal staff ethics and zero tolerance for malpractice. However, the impact of these crucial messages often diminishes at the hyper-local community level where risky practices persist.</w:t>
      </w:r>
    </w:p>
    <w:p w14:paraId="5833DBAE" w14:textId="77777777" w:rsidR="00E940D1" w:rsidRPr="00E940D1" w:rsidRDefault="00E940D1" w:rsidP="00E940D1">
      <w:pPr>
        <w:jc w:val="both"/>
      </w:pPr>
      <w:r w:rsidRPr="00E940D1">
        <w:t>In </w:t>
      </w:r>
      <w:r w:rsidRPr="00E940D1">
        <w:rPr>
          <w:b/>
          <w:bCs/>
        </w:rPr>
        <w:t>East Wanga, Mumias East</w:t>
      </w:r>
      <w:r w:rsidRPr="00E940D1">
        <w:t>, illegal connections, meter tampering and the work of quack electricians create a triple threat: they </w:t>
      </w:r>
      <w:r w:rsidRPr="00E940D1">
        <w:rPr>
          <w:b/>
          <w:bCs/>
        </w:rPr>
        <w:t>endanger lives</w:t>
      </w:r>
      <w:r w:rsidRPr="00E940D1">
        <w:t>, </w:t>
      </w:r>
      <w:r w:rsidRPr="00E940D1">
        <w:rPr>
          <w:b/>
          <w:bCs/>
        </w:rPr>
        <w:t>cause significant revenue loss</w:t>
      </w:r>
      <w:r w:rsidRPr="00E940D1">
        <w:t> and </w:t>
      </w:r>
      <w:r w:rsidRPr="00E940D1">
        <w:rPr>
          <w:b/>
          <w:bCs/>
        </w:rPr>
        <w:t>erode public trust</w:t>
      </w:r>
      <w:r w:rsidRPr="00E940D1">
        <w:t>, thereby damaging the Kenya Power brand. This project bridges the gap by localizing these corporate campaigns into direct, interactive community engagement. It positions Kenya Power staff as ethical leaders and brand ambassadors, actively protecting the community and the company’s integrity.</w:t>
      </w:r>
    </w:p>
    <w:p w14:paraId="2FE05836" w14:textId="77777777" w:rsidR="00E940D1" w:rsidRPr="00E940D1" w:rsidRDefault="00E940D1" w:rsidP="00E940D1">
      <w:pPr>
        <w:rPr>
          <w:b/>
          <w:bCs/>
        </w:rPr>
      </w:pPr>
      <w:r w:rsidRPr="00E940D1">
        <w:rPr>
          <w:b/>
          <w:bCs/>
        </w:rPr>
        <w:lastRenderedPageBreak/>
        <w:t>3.0 Project Objectives</w:t>
      </w:r>
    </w:p>
    <w:p w14:paraId="4CA4E5A2" w14:textId="77777777" w:rsidR="00E940D1" w:rsidRPr="00E940D1" w:rsidRDefault="00E940D1" w:rsidP="00E940D1">
      <w:pPr>
        <w:numPr>
          <w:ilvl w:val="0"/>
          <w:numId w:val="1"/>
        </w:numPr>
      </w:pPr>
      <w:r w:rsidRPr="00E940D1">
        <w:rPr>
          <w:b/>
          <w:bCs/>
        </w:rPr>
        <w:t>Safety:</w:t>
      </w:r>
      <w:r w:rsidRPr="00E940D1">
        <w:t> To reduce electrical fire incidents and accidents in East Wanga by 40% within one year through targeted education on safe electricity use and the dangers of illegal connections.</w:t>
      </w:r>
    </w:p>
    <w:p w14:paraId="6D0A65C5" w14:textId="77777777" w:rsidR="00E940D1" w:rsidRPr="00E940D1" w:rsidRDefault="00E940D1" w:rsidP="00E940D1">
      <w:pPr>
        <w:numPr>
          <w:ilvl w:val="0"/>
          <w:numId w:val="1"/>
        </w:numPr>
      </w:pPr>
      <w:r w:rsidRPr="00E940D1">
        <w:rPr>
          <w:b/>
          <w:bCs/>
        </w:rPr>
        <w:t>Integrity:</w:t>
      </w:r>
      <w:r w:rsidRPr="00E940D1">
        <w:t> To reinforce the </w:t>
      </w:r>
      <w:proofErr w:type="spellStart"/>
      <w:r w:rsidRPr="00E940D1">
        <w:rPr>
          <w:i/>
          <w:iCs/>
        </w:rPr>
        <w:t>Tusichome</w:t>
      </w:r>
      <w:proofErr w:type="spellEnd"/>
      <w:r w:rsidRPr="00E940D1">
        <w:rPr>
          <w:i/>
          <w:iCs/>
        </w:rPr>
        <w:t xml:space="preserve"> Brand</w:t>
      </w:r>
      <w:r w:rsidRPr="00E940D1">
        <w:t> ethos by facilitating staff-led community dialogues on ethics, reporting mechanisms and the collective cost of corruption and collusion.</w:t>
      </w:r>
    </w:p>
    <w:p w14:paraId="42EF2250" w14:textId="77777777" w:rsidR="00E940D1" w:rsidRPr="00E940D1" w:rsidRDefault="00E940D1" w:rsidP="00E940D1">
      <w:pPr>
        <w:numPr>
          <w:ilvl w:val="0"/>
          <w:numId w:val="1"/>
        </w:numPr>
      </w:pPr>
      <w:r w:rsidRPr="00E940D1">
        <w:rPr>
          <w:b/>
          <w:bCs/>
        </w:rPr>
        <w:t>Trust:</w:t>
      </w:r>
      <w:r w:rsidRPr="00E940D1">
        <w:t> To increase the number of residents who trust and positively perceive Kenya Power’s community role by 30%, as measured through pre- and post-engagement surveys.</w:t>
      </w:r>
    </w:p>
    <w:p w14:paraId="6B0438B1" w14:textId="77777777" w:rsidR="00E940D1" w:rsidRPr="00E940D1" w:rsidRDefault="00E940D1" w:rsidP="00E940D1">
      <w:pPr>
        <w:numPr>
          <w:ilvl w:val="0"/>
          <w:numId w:val="1"/>
        </w:numPr>
      </w:pPr>
      <w:r w:rsidRPr="00E940D1">
        <w:rPr>
          <w:b/>
          <w:bCs/>
        </w:rPr>
        <w:t>Sustainability:</w:t>
      </w:r>
      <w:r w:rsidRPr="00E940D1">
        <w:t> To establish a network of 20 </w:t>
      </w:r>
      <w:r w:rsidRPr="00E940D1">
        <w:rPr>
          <w:b/>
          <w:bCs/>
        </w:rPr>
        <w:t>Community Power Champions</w:t>
      </w:r>
      <w:r w:rsidRPr="00E940D1">
        <w:t> who will act as ongoing brand ambassadors and safety focal points within their neighborhoods.</w:t>
      </w:r>
    </w:p>
    <w:p w14:paraId="0ED6E6F4" w14:textId="77777777" w:rsidR="00E940D1" w:rsidRDefault="00E940D1" w:rsidP="00E940D1"/>
    <w:p w14:paraId="402D8206" w14:textId="0CA0C5F4" w:rsidR="00E940D1" w:rsidRPr="00E940D1" w:rsidRDefault="00E940D1" w:rsidP="00E940D1">
      <w:pPr>
        <w:rPr>
          <w:b/>
          <w:bCs/>
        </w:rPr>
      </w:pPr>
      <w:r w:rsidRPr="00E940D1">
        <w:rPr>
          <w:b/>
          <w:bCs/>
        </w:rPr>
        <w:t>4.0 Key Activities and Components</w:t>
      </w:r>
    </w:p>
    <w:tbl>
      <w:tblPr>
        <w:tblStyle w:val="TableGrid"/>
        <w:tblW w:w="10345" w:type="dxa"/>
        <w:tblLook w:val="04A0" w:firstRow="1" w:lastRow="0" w:firstColumn="1" w:lastColumn="0" w:noHBand="0" w:noVBand="1"/>
      </w:tblPr>
      <w:tblGrid>
        <w:gridCol w:w="2813"/>
        <w:gridCol w:w="4943"/>
        <w:gridCol w:w="2589"/>
      </w:tblGrid>
      <w:tr w:rsidR="00E940D1" w:rsidRPr="00E940D1" w14:paraId="10AA3D9C" w14:textId="77777777" w:rsidTr="00E940D1">
        <w:tc>
          <w:tcPr>
            <w:tcW w:w="0" w:type="auto"/>
            <w:hideMark/>
          </w:tcPr>
          <w:p w14:paraId="2CE1FCF1" w14:textId="77777777" w:rsidR="00E940D1" w:rsidRPr="00E940D1" w:rsidRDefault="00E940D1" w:rsidP="00E940D1">
            <w:pPr>
              <w:spacing w:after="160" w:line="278" w:lineRule="auto"/>
              <w:rPr>
                <w:b/>
                <w:bCs/>
              </w:rPr>
            </w:pPr>
            <w:r w:rsidRPr="00E940D1">
              <w:rPr>
                <w:b/>
                <w:bCs/>
              </w:rPr>
              <w:t>Component</w:t>
            </w:r>
          </w:p>
        </w:tc>
        <w:tc>
          <w:tcPr>
            <w:tcW w:w="0" w:type="auto"/>
            <w:hideMark/>
          </w:tcPr>
          <w:p w14:paraId="74B17E71" w14:textId="77777777" w:rsidR="00E940D1" w:rsidRPr="00E940D1" w:rsidRDefault="00E940D1" w:rsidP="00E940D1">
            <w:pPr>
              <w:spacing w:after="160" w:line="278" w:lineRule="auto"/>
              <w:rPr>
                <w:b/>
                <w:bCs/>
              </w:rPr>
            </w:pPr>
            <w:r w:rsidRPr="00E940D1">
              <w:rPr>
                <w:b/>
                <w:bCs/>
              </w:rPr>
              <w:t>Description</w:t>
            </w:r>
          </w:p>
        </w:tc>
        <w:tc>
          <w:tcPr>
            <w:tcW w:w="2589" w:type="dxa"/>
            <w:hideMark/>
          </w:tcPr>
          <w:p w14:paraId="584CAD89" w14:textId="77777777" w:rsidR="00E940D1" w:rsidRPr="00E940D1" w:rsidRDefault="00E940D1" w:rsidP="00E940D1">
            <w:pPr>
              <w:spacing w:after="160" w:line="278" w:lineRule="auto"/>
              <w:rPr>
                <w:b/>
                <w:bCs/>
              </w:rPr>
            </w:pPr>
            <w:r w:rsidRPr="00E940D1">
              <w:rPr>
                <w:b/>
                <w:bCs/>
              </w:rPr>
              <w:t>Alignment with KP Campaigns</w:t>
            </w:r>
          </w:p>
        </w:tc>
      </w:tr>
      <w:tr w:rsidR="00E940D1" w:rsidRPr="00E940D1" w14:paraId="038772B1" w14:textId="77777777" w:rsidTr="00E940D1">
        <w:tc>
          <w:tcPr>
            <w:tcW w:w="0" w:type="auto"/>
            <w:hideMark/>
          </w:tcPr>
          <w:p w14:paraId="6E0A3F2B" w14:textId="77777777" w:rsidR="00E940D1" w:rsidRPr="00E940D1" w:rsidRDefault="00E940D1" w:rsidP="00E940D1">
            <w:pPr>
              <w:spacing w:after="160" w:line="278" w:lineRule="auto"/>
            </w:pPr>
            <w:r w:rsidRPr="00E940D1">
              <w:rPr>
                <w:b/>
                <w:bCs/>
              </w:rPr>
              <w:t xml:space="preserve">1. Pamoja </w:t>
            </w:r>
            <w:proofErr w:type="spellStart"/>
            <w:r w:rsidRPr="00E940D1">
              <w:rPr>
                <w:b/>
                <w:bCs/>
              </w:rPr>
              <w:t>Twang’aa</w:t>
            </w:r>
            <w:proofErr w:type="spellEnd"/>
            <w:r w:rsidRPr="00E940D1">
              <w:rPr>
                <w:b/>
                <w:bCs/>
              </w:rPr>
              <w:t xml:space="preserve"> Community Forums</w:t>
            </w:r>
          </w:p>
        </w:tc>
        <w:tc>
          <w:tcPr>
            <w:tcW w:w="0" w:type="auto"/>
            <w:hideMark/>
          </w:tcPr>
          <w:p w14:paraId="1A2648FD" w14:textId="77777777" w:rsidR="00E940D1" w:rsidRPr="00E940D1" w:rsidRDefault="00E940D1" w:rsidP="00E940D1">
            <w:pPr>
              <w:spacing w:after="160" w:line="278" w:lineRule="auto"/>
            </w:pPr>
            <w:r w:rsidRPr="00E940D1">
              <w:t>Public barazas in 4 sub-locations covering safety, legal connections and Q&amp;A with KPLC technicians.</w:t>
            </w:r>
          </w:p>
        </w:tc>
        <w:tc>
          <w:tcPr>
            <w:tcW w:w="2589" w:type="dxa"/>
            <w:hideMark/>
          </w:tcPr>
          <w:p w14:paraId="49CAC8D5" w14:textId="77777777" w:rsidR="00E940D1" w:rsidRPr="00E940D1" w:rsidRDefault="00E940D1" w:rsidP="00E940D1">
            <w:pPr>
              <w:spacing w:after="160" w:line="278" w:lineRule="auto"/>
            </w:pPr>
            <w:r w:rsidRPr="00E940D1">
              <w:t>Localizes the external public campaign.</w:t>
            </w:r>
          </w:p>
        </w:tc>
      </w:tr>
      <w:tr w:rsidR="00E940D1" w:rsidRPr="00E940D1" w14:paraId="65B92B18" w14:textId="77777777" w:rsidTr="00E940D1">
        <w:tc>
          <w:tcPr>
            <w:tcW w:w="0" w:type="auto"/>
            <w:hideMark/>
          </w:tcPr>
          <w:p w14:paraId="7E47A592" w14:textId="77777777" w:rsidR="00E940D1" w:rsidRPr="00E940D1" w:rsidRDefault="00E940D1" w:rsidP="00E940D1">
            <w:pPr>
              <w:spacing w:after="160" w:line="278" w:lineRule="auto"/>
            </w:pPr>
            <w:r w:rsidRPr="00E940D1">
              <w:rPr>
                <w:b/>
                <w:bCs/>
              </w:rPr>
              <w:t xml:space="preserve">2. </w:t>
            </w:r>
            <w:proofErr w:type="spellStart"/>
            <w:r w:rsidRPr="00E940D1">
              <w:rPr>
                <w:b/>
                <w:bCs/>
              </w:rPr>
              <w:t>Tusichome</w:t>
            </w:r>
            <w:proofErr w:type="spellEnd"/>
            <w:r w:rsidRPr="00E940D1">
              <w:rPr>
                <w:b/>
                <w:bCs/>
              </w:rPr>
              <w:t xml:space="preserve"> Brand Integrity Talks</w:t>
            </w:r>
          </w:p>
        </w:tc>
        <w:tc>
          <w:tcPr>
            <w:tcW w:w="0" w:type="auto"/>
            <w:hideMark/>
          </w:tcPr>
          <w:p w14:paraId="1DA7D7DD" w14:textId="77777777" w:rsidR="00E940D1" w:rsidRPr="00E940D1" w:rsidRDefault="00E940D1" w:rsidP="00E940D1">
            <w:pPr>
              <w:spacing w:after="160" w:line="278" w:lineRule="auto"/>
            </w:pPr>
            <w:r w:rsidRPr="00E940D1">
              <w:t>Sessions led by Kenya Power staff on ethics, brand protection and how to report illegal activities anonymously.</w:t>
            </w:r>
          </w:p>
        </w:tc>
        <w:tc>
          <w:tcPr>
            <w:tcW w:w="2589" w:type="dxa"/>
            <w:hideMark/>
          </w:tcPr>
          <w:p w14:paraId="4B10FCA5" w14:textId="77777777" w:rsidR="00E940D1" w:rsidRPr="00E940D1" w:rsidRDefault="00E940D1" w:rsidP="00E940D1">
            <w:pPr>
              <w:spacing w:after="160" w:line="278" w:lineRule="auto"/>
            </w:pPr>
            <w:r w:rsidRPr="00E940D1">
              <w:t>Activates the internal staff values campaign.</w:t>
            </w:r>
          </w:p>
        </w:tc>
      </w:tr>
      <w:tr w:rsidR="00E940D1" w:rsidRPr="00E940D1" w14:paraId="2E1FC1B3" w14:textId="77777777" w:rsidTr="00E940D1">
        <w:tc>
          <w:tcPr>
            <w:tcW w:w="0" w:type="auto"/>
            <w:hideMark/>
          </w:tcPr>
          <w:p w14:paraId="0BB719CE" w14:textId="77777777" w:rsidR="00E940D1" w:rsidRPr="00E940D1" w:rsidRDefault="00E940D1" w:rsidP="00E940D1">
            <w:pPr>
              <w:spacing w:after="160" w:line="278" w:lineRule="auto"/>
            </w:pPr>
            <w:r w:rsidRPr="00E940D1">
              <w:rPr>
                <w:b/>
                <w:bCs/>
              </w:rPr>
              <w:t>3. Live Safe Power Demonstrations</w:t>
            </w:r>
          </w:p>
        </w:tc>
        <w:tc>
          <w:tcPr>
            <w:tcW w:w="0" w:type="auto"/>
            <w:hideMark/>
          </w:tcPr>
          <w:p w14:paraId="0A659E66" w14:textId="77777777" w:rsidR="00E940D1" w:rsidRPr="00E940D1" w:rsidRDefault="00E940D1" w:rsidP="00E940D1">
            <w:pPr>
              <w:spacing w:after="160" w:line="278" w:lineRule="auto"/>
            </w:pPr>
            <w:r w:rsidRPr="00E940D1">
              <w:t>Practical shows by licensed electricians on proper wiring, safe appliance use and identifying quack work.</w:t>
            </w:r>
          </w:p>
        </w:tc>
        <w:tc>
          <w:tcPr>
            <w:tcW w:w="2589" w:type="dxa"/>
            <w:hideMark/>
          </w:tcPr>
          <w:p w14:paraId="777A691F" w14:textId="77777777" w:rsidR="00E940D1" w:rsidRPr="00E940D1" w:rsidRDefault="00E940D1" w:rsidP="00E940D1">
            <w:pPr>
              <w:spacing w:after="160" w:line="278" w:lineRule="auto"/>
            </w:pPr>
            <w:r w:rsidRPr="00E940D1">
              <w:t xml:space="preserve">Visual reinforcement of Pamoja </w:t>
            </w:r>
            <w:proofErr w:type="spellStart"/>
            <w:r w:rsidRPr="00E940D1">
              <w:t>Twang’aa</w:t>
            </w:r>
            <w:proofErr w:type="spellEnd"/>
            <w:r w:rsidRPr="00E940D1">
              <w:t xml:space="preserve"> safety messages.</w:t>
            </w:r>
          </w:p>
        </w:tc>
      </w:tr>
      <w:tr w:rsidR="00E940D1" w:rsidRPr="00E940D1" w14:paraId="4434AD16" w14:textId="77777777" w:rsidTr="00E940D1">
        <w:tc>
          <w:tcPr>
            <w:tcW w:w="0" w:type="auto"/>
            <w:hideMark/>
          </w:tcPr>
          <w:p w14:paraId="1356B830" w14:textId="77777777" w:rsidR="00E940D1" w:rsidRPr="00E940D1" w:rsidRDefault="00E940D1" w:rsidP="00E940D1">
            <w:pPr>
              <w:spacing w:after="160" w:line="278" w:lineRule="auto"/>
            </w:pPr>
            <w:r w:rsidRPr="00E940D1">
              <w:rPr>
                <w:b/>
                <w:bCs/>
              </w:rPr>
              <w:t>4. School Safety Outreach</w:t>
            </w:r>
          </w:p>
        </w:tc>
        <w:tc>
          <w:tcPr>
            <w:tcW w:w="0" w:type="auto"/>
            <w:hideMark/>
          </w:tcPr>
          <w:p w14:paraId="00E4B9D8" w14:textId="77777777" w:rsidR="00E940D1" w:rsidRPr="00E940D1" w:rsidRDefault="00E940D1" w:rsidP="00E940D1">
            <w:pPr>
              <w:spacing w:after="160" w:line="278" w:lineRule="auto"/>
            </w:pPr>
            <w:r w:rsidRPr="00E940D1">
              <w:t>Engaging talks and competitions in 5 primary schools to instill safety culture in the next generation.</w:t>
            </w:r>
          </w:p>
        </w:tc>
        <w:tc>
          <w:tcPr>
            <w:tcW w:w="2589" w:type="dxa"/>
            <w:hideMark/>
          </w:tcPr>
          <w:p w14:paraId="61BA53FB" w14:textId="77777777" w:rsidR="00E940D1" w:rsidRPr="00E940D1" w:rsidRDefault="00E940D1" w:rsidP="00E940D1">
            <w:pPr>
              <w:spacing w:after="160" w:line="278" w:lineRule="auto"/>
            </w:pPr>
            <w:r w:rsidRPr="00E940D1">
              <w:t>Extends campaign reach to families.</w:t>
            </w:r>
          </w:p>
        </w:tc>
      </w:tr>
      <w:tr w:rsidR="00E940D1" w:rsidRPr="00E940D1" w14:paraId="7B82C3C9" w14:textId="77777777" w:rsidTr="00E940D1">
        <w:tc>
          <w:tcPr>
            <w:tcW w:w="0" w:type="auto"/>
            <w:hideMark/>
          </w:tcPr>
          <w:p w14:paraId="33E0EF52" w14:textId="77777777" w:rsidR="00E940D1" w:rsidRPr="00E940D1" w:rsidRDefault="00E940D1" w:rsidP="00E940D1">
            <w:pPr>
              <w:spacing w:after="160" w:line="278" w:lineRule="auto"/>
            </w:pPr>
            <w:r w:rsidRPr="00E940D1">
              <w:rPr>
                <w:b/>
                <w:bCs/>
              </w:rPr>
              <w:lastRenderedPageBreak/>
              <w:t>5. Community Power Champions</w:t>
            </w:r>
          </w:p>
        </w:tc>
        <w:tc>
          <w:tcPr>
            <w:tcW w:w="0" w:type="auto"/>
            <w:hideMark/>
          </w:tcPr>
          <w:p w14:paraId="5749FDD2" w14:textId="77777777" w:rsidR="00E940D1" w:rsidRPr="00E940D1" w:rsidRDefault="00E940D1" w:rsidP="00E940D1">
            <w:pPr>
              <w:spacing w:after="160" w:line="278" w:lineRule="auto"/>
            </w:pPr>
            <w:r w:rsidRPr="00E940D1">
              <w:t>Training and commissioning of 20 trusted community volunteers as safety and brand integrity ambassadors.</w:t>
            </w:r>
          </w:p>
        </w:tc>
        <w:tc>
          <w:tcPr>
            <w:tcW w:w="2589" w:type="dxa"/>
            <w:hideMark/>
          </w:tcPr>
          <w:p w14:paraId="4C9B43BF" w14:textId="77777777" w:rsidR="00E940D1" w:rsidRPr="00E940D1" w:rsidRDefault="00E940D1" w:rsidP="00E940D1">
            <w:pPr>
              <w:spacing w:after="160" w:line="278" w:lineRule="auto"/>
            </w:pPr>
            <w:proofErr w:type="gramStart"/>
            <w:r w:rsidRPr="00E940D1">
              <w:t>Creates</w:t>
            </w:r>
            <w:proofErr w:type="gramEnd"/>
            <w:r w:rsidRPr="00E940D1">
              <w:t xml:space="preserve"> a sustainable, community-owned extension of the campaign.</w:t>
            </w:r>
          </w:p>
        </w:tc>
      </w:tr>
    </w:tbl>
    <w:p w14:paraId="3EEA28AE" w14:textId="77777777" w:rsidR="00E940D1" w:rsidRDefault="00E940D1" w:rsidP="00E940D1"/>
    <w:p w14:paraId="5EE23290" w14:textId="5313EFFA" w:rsidR="00E940D1" w:rsidRPr="00E940D1" w:rsidRDefault="00E940D1" w:rsidP="00E940D1">
      <w:pPr>
        <w:rPr>
          <w:b/>
          <w:bCs/>
        </w:rPr>
      </w:pPr>
      <w:r w:rsidRPr="00E940D1">
        <w:rPr>
          <w:b/>
          <w:bCs/>
        </w:rPr>
        <w:t>5.0 Implementation Plan (3-Month Timeline)</w:t>
      </w:r>
    </w:p>
    <w:tbl>
      <w:tblPr>
        <w:tblStyle w:val="TableGrid"/>
        <w:tblW w:w="10345" w:type="dxa"/>
        <w:tblLook w:val="04A0" w:firstRow="1" w:lastRow="0" w:firstColumn="1" w:lastColumn="0" w:noHBand="0" w:noVBand="1"/>
      </w:tblPr>
      <w:tblGrid>
        <w:gridCol w:w="1022"/>
        <w:gridCol w:w="7232"/>
        <w:gridCol w:w="2091"/>
      </w:tblGrid>
      <w:tr w:rsidR="00E940D1" w:rsidRPr="00E940D1" w14:paraId="1B75E446" w14:textId="77777777" w:rsidTr="00E940D1">
        <w:tc>
          <w:tcPr>
            <w:tcW w:w="0" w:type="auto"/>
            <w:hideMark/>
          </w:tcPr>
          <w:p w14:paraId="26BA9B13" w14:textId="77777777" w:rsidR="00E940D1" w:rsidRPr="00E940D1" w:rsidRDefault="00E940D1" w:rsidP="00E940D1">
            <w:pPr>
              <w:spacing w:after="160" w:line="278" w:lineRule="auto"/>
              <w:rPr>
                <w:b/>
                <w:bCs/>
              </w:rPr>
            </w:pPr>
            <w:r w:rsidRPr="00E940D1">
              <w:rPr>
                <w:b/>
                <w:bCs/>
              </w:rPr>
              <w:t>Month</w:t>
            </w:r>
          </w:p>
        </w:tc>
        <w:tc>
          <w:tcPr>
            <w:tcW w:w="0" w:type="auto"/>
            <w:hideMark/>
          </w:tcPr>
          <w:p w14:paraId="5FDBFCCB" w14:textId="77777777" w:rsidR="00E940D1" w:rsidRPr="00E940D1" w:rsidRDefault="00E940D1" w:rsidP="00E940D1">
            <w:pPr>
              <w:spacing w:after="160" w:line="278" w:lineRule="auto"/>
              <w:rPr>
                <w:b/>
                <w:bCs/>
              </w:rPr>
            </w:pPr>
            <w:r w:rsidRPr="00E940D1">
              <w:rPr>
                <w:b/>
                <w:bCs/>
              </w:rPr>
              <w:t>Activity</w:t>
            </w:r>
          </w:p>
        </w:tc>
        <w:tc>
          <w:tcPr>
            <w:tcW w:w="2091" w:type="dxa"/>
            <w:hideMark/>
          </w:tcPr>
          <w:p w14:paraId="157DF03C" w14:textId="77777777" w:rsidR="00E940D1" w:rsidRPr="00E940D1" w:rsidRDefault="00E940D1" w:rsidP="00E940D1">
            <w:pPr>
              <w:spacing w:after="160" w:line="278" w:lineRule="auto"/>
              <w:rPr>
                <w:b/>
                <w:bCs/>
              </w:rPr>
            </w:pPr>
            <w:r w:rsidRPr="00E940D1">
              <w:rPr>
                <w:b/>
                <w:bCs/>
              </w:rPr>
              <w:t>Responsible Party</w:t>
            </w:r>
          </w:p>
        </w:tc>
      </w:tr>
      <w:tr w:rsidR="00E940D1" w:rsidRPr="00E940D1" w14:paraId="5E16099B" w14:textId="77777777" w:rsidTr="00E940D1">
        <w:tc>
          <w:tcPr>
            <w:tcW w:w="0" w:type="auto"/>
            <w:hideMark/>
          </w:tcPr>
          <w:p w14:paraId="14C306EE" w14:textId="77777777" w:rsidR="00E940D1" w:rsidRPr="00E940D1" w:rsidRDefault="00E940D1" w:rsidP="00E940D1">
            <w:pPr>
              <w:spacing w:after="160" w:line="278" w:lineRule="auto"/>
            </w:pPr>
            <w:r w:rsidRPr="00E940D1">
              <w:rPr>
                <w:b/>
                <w:bCs/>
              </w:rPr>
              <w:t>Month 1</w:t>
            </w:r>
          </w:p>
        </w:tc>
        <w:tc>
          <w:tcPr>
            <w:tcW w:w="0" w:type="auto"/>
            <w:hideMark/>
          </w:tcPr>
          <w:p w14:paraId="18EDA677" w14:textId="77777777" w:rsidR="00E940D1" w:rsidRPr="00E940D1" w:rsidRDefault="00E940D1" w:rsidP="00E940D1">
            <w:pPr>
              <w:spacing w:after="160" w:line="278" w:lineRule="auto"/>
            </w:pPr>
            <w:r w:rsidRPr="00E940D1">
              <w:t>Planning and Mobilization; Baseline Survey; Material Development</w:t>
            </w:r>
          </w:p>
        </w:tc>
        <w:tc>
          <w:tcPr>
            <w:tcW w:w="2091" w:type="dxa"/>
            <w:hideMark/>
          </w:tcPr>
          <w:p w14:paraId="7017DA13" w14:textId="77777777" w:rsidR="00E940D1" w:rsidRPr="00E940D1" w:rsidRDefault="00E940D1" w:rsidP="00E940D1">
            <w:pPr>
              <w:spacing w:after="160" w:line="278" w:lineRule="auto"/>
            </w:pPr>
            <w:r w:rsidRPr="00E940D1">
              <w:t>Project Team, KPLC Liaison</w:t>
            </w:r>
          </w:p>
        </w:tc>
      </w:tr>
      <w:tr w:rsidR="00E940D1" w:rsidRPr="00E940D1" w14:paraId="4666B990" w14:textId="77777777" w:rsidTr="00E940D1">
        <w:tc>
          <w:tcPr>
            <w:tcW w:w="0" w:type="auto"/>
            <w:hideMark/>
          </w:tcPr>
          <w:p w14:paraId="0E7B5F25" w14:textId="77777777" w:rsidR="00E940D1" w:rsidRPr="00E940D1" w:rsidRDefault="00E940D1" w:rsidP="00E940D1">
            <w:pPr>
              <w:spacing w:after="160" w:line="278" w:lineRule="auto"/>
            </w:pPr>
            <w:r w:rsidRPr="00E940D1">
              <w:rPr>
                <w:b/>
                <w:bCs/>
              </w:rPr>
              <w:t>Month 2</w:t>
            </w:r>
          </w:p>
        </w:tc>
        <w:tc>
          <w:tcPr>
            <w:tcW w:w="0" w:type="auto"/>
            <w:hideMark/>
          </w:tcPr>
          <w:p w14:paraId="2DFDCE22" w14:textId="77777777" w:rsidR="00E940D1" w:rsidRPr="00E940D1" w:rsidRDefault="00E940D1" w:rsidP="00E940D1">
            <w:pPr>
              <w:spacing w:after="160" w:line="278" w:lineRule="auto"/>
            </w:pPr>
            <w:r w:rsidRPr="00E940D1">
              <w:rPr>
                <w:b/>
                <w:bCs/>
              </w:rPr>
              <w:t>Core Implementation:</w:t>
            </w:r>
            <w:r w:rsidRPr="00E940D1">
              <w:t> Forums, Integrity Talks, School Outreach, Demonstrations</w:t>
            </w:r>
          </w:p>
        </w:tc>
        <w:tc>
          <w:tcPr>
            <w:tcW w:w="2091" w:type="dxa"/>
            <w:hideMark/>
          </w:tcPr>
          <w:p w14:paraId="7CD9B0F6" w14:textId="77777777" w:rsidR="00E940D1" w:rsidRPr="00E940D1" w:rsidRDefault="00E940D1" w:rsidP="00E940D1">
            <w:pPr>
              <w:spacing w:after="160" w:line="278" w:lineRule="auto"/>
            </w:pPr>
            <w:r w:rsidRPr="00E940D1">
              <w:t>Project Team, KPLC Staff, Volunteers</w:t>
            </w:r>
          </w:p>
        </w:tc>
      </w:tr>
      <w:tr w:rsidR="00E940D1" w:rsidRPr="00E940D1" w14:paraId="387D011D" w14:textId="77777777" w:rsidTr="00E940D1">
        <w:tc>
          <w:tcPr>
            <w:tcW w:w="0" w:type="auto"/>
            <w:hideMark/>
          </w:tcPr>
          <w:p w14:paraId="6DE9AE3D" w14:textId="77777777" w:rsidR="00E940D1" w:rsidRPr="00E940D1" w:rsidRDefault="00E940D1" w:rsidP="00E940D1">
            <w:pPr>
              <w:spacing w:after="160" w:line="278" w:lineRule="auto"/>
            </w:pPr>
            <w:r w:rsidRPr="00E940D1">
              <w:rPr>
                <w:b/>
                <w:bCs/>
              </w:rPr>
              <w:t>Month 3</w:t>
            </w:r>
          </w:p>
        </w:tc>
        <w:tc>
          <w:tcPr>
            <w:tcW w:w="0" w:type="auto"/>
            <w:hideMark/>
          </w:tcPr>
          <w:p w14:paraId="38CE4DB3" w14:textId="77777777" w:rsidR="00E940D1" w:rsidRPr="00E940D1" w:rsidRDefault="00E940D1" w:rsidP="00E940D1">
            <w:pPr>
              <w:spacing w:after="160" w:line="278" w:lineRule="auto"/>
            </w:pPr>
            <w:r w:rsidRPr="00E940D1">
              <w:t>Training of Community Champions; Final Evaluation and Reporting; Documentation of Lessons</w:t>
            </w:r>
          </w:p>
        </w:tc>
        <w:tc>
          <w:tcPr>
            <w:tcW w:w="2091" w:type="dxa"/>
            <w:hideMark/>
          </w:tcPr>
          <w:p w14:paraId="5D87A976" w14:textId="77777777" w:rsidR="00E940D1" w:rsidRPr="00E940D1" w:rsidRDefault="00E940D1" w:rsidP="00E940D1">
            <w:pPr>
              <w:spacing w:after="160" w:line="278" w:lineRule="auto"/>
            </w:pPr>
            <w:r w:rsidRPr="00E940D1">
              <w:t>Project Team, KPLC Foundation</w:t>
            </w:r>
          </w:p>
        </w:tc>
      </w:tr>
    </w:tbl>
    <w:p w14:paraId="5C83083D" w14:textId="77777777" w:rsidR="00E940D1" w:rsidRDefault="00E940D1" w:rsidP="00E940D1"/>
    <w:p w14:paraId="5FB1F2AB" w14:textId="38277367" w:rsidR="00E940D1" w:rsidRPr="00E940D1" w:rsidRDefault="00E940D1" w:rsidP="00E940D1">
      <w:pPr>
        <w:rPr>
          <w:b/>
          <w:bCs/>
        </w:rPr>
      </w:pPr>
      <w:r w:rsidRPr="00E940D1">
        <w:rPr>
          <w:b/>
          <w:bCs/>
        </w:rPr>
        <w:t>6.0 Budget Estimate</w:t>
      </w:r>
    </w:p>
    <w:tbl>
      <w:tblPr>
        <w:tblStyle w:val="TableGrid"/>
        <w:tblW w:w="10345" w:type="dxa"/>
        <w:tblLook w:val="04A0" w:firstRow="1" w:lastRow="0" w:firstColumn="1" w:lastColumn="0" w:noHBand="0" w:noVBand="1"/>
      </w:tblPr>
      <w:tblGrid>
        <w:gridCol w:w="2731"/>
        <w:gridCol w:w="3019"/>
        <w:gridCol w:w="1150"/>
        <w:gridCol w:w="1287"/>
        <w:gridCol w:w="2158"/>
      </w:tblGrid>
      <w:tr w:rsidR="00E940D1" w:rsidRPr="00E940D1" w14:paraId="121678F9" w14:textId="77777777" w:rsidTr="00E940D1">
        <w:tc>
          <w:tcPr>
            <w:tcW w:w="0" w:type="auto"/>
            <w:hideMark/>
          </w:tcPr>
          <w:p w14:paraId="48B76CA7" w14:textId="77777777" w:rsidR="00E940D1" w:rsidRPr="00E940D1" w:rsidRDefault="00E940D1" w:rsidP="00E940D1">
            <w:pPr>
              <w:spacing w:after="160" w:line="278" w:lineRule="auto"/>
            </w:pPr>
            <w:r w:rsidRPr="00E940D1">
              <w:t>Item</w:t>
            </w:r>
          </w:p>
        </w:tc>
        <w:tc>
          <w:tcPr>
            <w:tcW w:w="0" w:type="auto"/>
            <w:hideMark/>
          </w:tcPr>
          <w:p w14:paraId="3FD0170A" w14:textId="77777777" w:rsidR="00E940D1" w:rsidRPr="00E940D1" w:rsidRDefault="00E940D1" w:rsidP="00E940D1">
            <w:pPr>
              <w:spacing w:after="160" w:line="278" w:lineRule="auto"/>
            </w:pPr>
            <w:r w:rsidRPr="00E940D1">
              <w:t>Description</w:t>
            </w:r>
          </w:p>
        </w:tc>
        <w:tc>
          <w:tcPr>
            <w:tcW w:w="0" w:type="auto"/>
            <w:hideMark/>
          </w:tcPr>
          <w:p w14:paraId="2D10A257" w14:textId="77777777" w:rsidR="00E940D1" w:rsidRPr="00E940D1" w:rsidRDefault="00E940D1" w:rsidP="00E940D1">
            <w:pPr>
              <w:spacing w:after="160" w:line="278" w:lineRule="auto"/>
            </w:pPr>
            <w:r w:rsidRPr="00E940D1">
              <w:t>Quantity</w:t>
            </w:r>
          </w:p>
        </w:tc>
        <w:tc>
          <w:tcPr>
            <w:tcW w:w="0" w:type="auto"/>
            <w:hideMark/>
          </w:tcPr>
          <w:p w14:paraId="7230B6EC" w14:textId="77777777" w:rsidR="00E940D1" w:rsidRPr="00E940D1" w:rsidRDefault="00E940D1" w:rsidP="00E940D1">
            <w:pPr>
              <w:spacing w:after="160" w:line="278" w:lineRule="auto"/>
            </w:pPr>
            <w:r w:rsidRPr="00E940D1">
              <w:t>Unit Cost (KES)</w:t>
            </w:r>
          </w:p>
        </w:tc>
        <w:tc>
          <w:tcPr>
            <w:tcW w:w="2158" w:type="dxa"/>
            <w:hideMark/>
          </w:tcPr>
          <w:p w14:paraId="51E67B56" w14:textId="77777777" w:rsidR="00E940D1" w:rsidRPr="00E940D1" w:rsidRDefault="00E940D1" w:rsidP="00E940D1">
            <w:pPr>
              <w:spacing w:after="160" w:line="278" w:lineRule="auto"/>
            </w:pPr>
            <w:r w:rsidRPr="00E940D1">
              <w:t>Total (KES)</w:t>
            </w:r>
          </w:p>
        </w:tc>
      </w:tr>
      <w:tr w:rsidR="00E940D1" w:rsidRPr="00E940D1" w14:paraId="7B257D09" w14:textId="77777777" w:rsidTr="00E940D1">
        <w:tc>
          <w:tcPr>
            <w:tcW w:w="0" w:type="auto"/>
            <w:hideMark/>
          </w:tcPr>
          <w:p w14:paraId="032B9D10" w14:textId="77777777" w:rsidR="00E940D1" w:rsidRPr="00E940D1" w:rsidRDefault="00E940D1" w:rsidP="00E940D1">
            <w:pPr>
              <w:spacing w:after="160" w:line="278" w:lineRule="auto"/>
            </w:pPr>
            <w:r w:rsidRPr="00E940D1">
              <w:rPr>
                <w:b/>
                <w:bCs/>
              </w:rPr>
              <w:t>A. Program Activities</w:t>
            </w:r>
          </w:p>
        </w:tc>
        <w:tc>
          <w:tcPr>
            <w:tcW w:w="0" w:type="auto"/>
            <w:hideMark/>
          </w:tcPr>
          <w:p w14:paraId="3B350F8F" w14:textId="77777777" w:rsidR="00E940D1" w:rsidRPr="00E940D1" w:rsidRDefault="00E940D1" w:rsidP="00E940D1">
            <w:pPr>
              <w:spacing w:after="160" w:line="278" w:lineRule="auto"/>
            </w:pPr>
          </w:p>
        </w:tc>
        <w:tc>
          <w:tcPr>
            <w:tcW w:w="0" w:type="auto"/>
            <w:hideMark/>
          </w:tcPr>
          <w:p w14:paraId="7DA2A2E3" w14:textId="77777777" w:rsidR="00E940D1" w:rsidRPr="00E940D1" w:rsidRDefault="00E940D1" w:rsidP="00E940D1">
            <w:pPr>
              <w:spacing w:after="160" w:line="278" w:lineRule="auto"/>
            </w:pPr>
          </w:p>
        </w:tc>
        <w:tc>
          <w:tcPr>
            <w:tcW w:w="0" w:type="auto"/>
            <w:hideMark/>
          </w:tcPr>
          <w:p w14:paraId="634FC950" w14:textId="77777777" w:rsidR="00E940D1" w:rsidRPr="00E940D1" w:rsidRDefault="00E940D1" w:rsidP="00E940D1">
            <w:pPr>
              <w:spacing w:after="160" w:line="278" w:lineRule="auto"/>
            </w:pPr>
          </w:p>
        </w:tc>
        <w:tc>
          <w:tcPr>
            <w:tcW w:w="2158" w:type="dxa"/>
            <w:hideMark/>
          </w:tcPr>
          <w:p w14:paraId="06EADCCE" w14:textId="77777777" w:rsidR="00E940D1" w:rsidRPr="00E940D1" w:rsidRDefault="00E940D1" w:rsidP="00E940D1">
            <w:pPr>
              <w:spacing w:after="160" w:line="278" w:lineRule="auto"/>
            </w:pPr>
          </w:p>
        </w:tc>
      </w:tr>
      <w:tr w:rsidR="00E940D1" w:rsidRPr="00E940D1" w14:paraId="62ED72CD" w14:textId="77777777" w:rsidTr="00E940D1">
        <w:tc>
          <w:tcPr>
            <w:tcW w:w="0" w:type="auto"/>
            <w:hideMark/>
          </w:tcPr>
          <w:p w14:paraId="683AB6EE" w14:textId="77777777" w:rsidR="00E940D1" w:rsidRPr="00E940D1" w:rsidRDefault="00E940D1" w:rsidP="00E940D1">
            <w:pPr>
              <w:spacing w:after="160" w:line="278" w:lineRule="auto"/>
            </w:pPr>
          </w:p>
        </w:tc>
        <w:tc>
          <w:tcPr>
            <w:tcW w:w="0" w:type="auto"/>
            <w:hideMark/>
          </w:tcPr>
          <w:p w14:paraId="2F88C19F" w14:textId="77777777" w:rsidR="00E940D1" w:rsidRPr="00E940D1" w:rsidRDefault="00E940D1" w:rsidP="00E940D1">
            <w:pPr>
              <w:spacing w:after="160" w:line="278" w:lineRule="auto"/>
            </w:pPr>
            <w:r w:rsidRPr="00E940D1">
              <w:t>Community Forums and Venue Logistics</w:t>
            </w:r>
          </w:p>
        </w:tc>
        <w:tc>
          <w:tcPr>
            <w:tcW w:w="0" w:type="auto"/>
            <w:hideMark/>
          </w:tcPr>
          <w:p w14:paraId="2C78BF96" w14:textId="77777777" w:rsidR="00E940D1" w:rsidRPr="00E940D1" w:rsidRDefault="00E940D1" w:rsidP="00E940D1">
            <w:pPr>
              <w:spacing w:after="160" w:line="278" w:lineRule="auto"/>
            </w:pPr>
            <w:r w:rsidRPr="00E940D1">
              <w:t>4 events</w:t>
            </w:r>
          </w:p>
        </w:tc>
        <w:tc>
          <w:tcPr>
            <w:tcW w:w="0" w:type="auto"/>
            <w:hideMark/>
          </w:tcPr>
          <w:p w14:paraId="2F5ABAA1" w14:textId="41D0C34C" w:rsidR="00E940D1" w:rsidRPr="00E940D1" w:rsidRDefault="009A4569" w:rsidP="00E940D1">
            <w:pPr>
              <w:spacing w:after="160" w:line="278" w:lineRule="auto"/>
            </w:pPr>
            <w:r>
              <w:t>30</w:t>
            </w:r>
            <w:r w:rsidR="00E940D1" w:rsidRPr="00E940D1">
              <w:t>,000</w:t>
            </w:r>
          </w:p>
        </w:tc>
        <w:tc>
          <w:tcPr>
            <w:tcW w:w="2158" w:type="dxa"/>
            <w:hideMark/>
          </w:tcPr>
          <w:p w14:paraId="46B683DC" w14:textId="3685C73E" w:rsidR="00E940D1" w:rsidRPr="00E940D1" w:rsidRDefault="009A4569" w:rsidP="00E940D1">
            <w:pPr>
              <w:spacing w:after="160" w:line="278" w:lineRule="auto"/>
            </w:pPr>
            <w:r>
              <w:t>120</w:t>
            </w:r>
            <w:r w:rsidR="00E940D1" w:rsidRPr="00E940D1">
              <w:t>,000</w:t>
            </w:r>
          </w:p>
        </w:tc>
      </w:tr>
      <w:tr w:rsidR="00E940D1" w:rsidRPr="00E940D1" w14:paraId="54DBFBA3" w14:textId="77777777" w:rsidTr="00E940D1">
        <w:tc>
          <w:tcPr>
            <w:tcW w:w="0" w:type="auto"/>
            <w:hideMark/>
          </w:tcPr>
          <w:p w14:paraId="4A5A012F" w14:textId="77777777" w:rsidR="00E940D1" w:rsidRPr="00E940D1" w:rsidRDefault="00E940D1" w:rsidP="00E940D1">
            <w:pPr>
              <w:spacing w:after="160" w:line="278" w:lineRule="auto"/>
            </w:pPr>
          </w:p>
        </w:tc>
        <w:tc>
          <w:tcPr>
            <w:tcW w:w="0" w:type="auto"/>
            <w:hideMark/>
          </w:tcPr>
          <w:p w14:paraId="79EC3253" w14:textId="77777777" w:rsidR="00E940D1" w:rsidRPr="00E940D1" w:rsidRDefault="00E940D1" w:rsidP="00E940D1">
            <w:pPr>
              <w:spacing w:after="160" w:line="278" w:lineRule="auto"/>
            </w:pPr>
            <w:r w:rsidRPr="00E940D1">
              <w:t>Safety Demonstration Materials</w:t>
            </w:r>
          </w:p>
        </w:tc>
        <w:tc>
          <w:tcPr>
            <w:tcW w:w="0" w:type="auto"/>
            <w:hideMark/>
          </w:tcPr>
          <w:p w14:paraId="75539A94" w14:textId="77777777" w:rsidR="00E940D1" w:rsidRPr="00E940D1" w:rsidRDefault="00E940D1" w:rsidP="00E940D1">
            <w:pPr>
              <w:spacing w:after="160" w:line="278" w:lineRule="auto"/>
            </w:pPr>
            <w:r w:rsidRPr="00E940D1">
              <w:t>1 kit</w:t>
            </w:r>
          </w:p>
        </w:tc>
        <w:tc>
          <w:tcPr>
            <w:tcW w:w="0" w:type="auto"/>
            <w:hideMark/>
          </w:tcPr>
          <w:p w14:paraId="235E067F" w14:textId="4299EF09" w:rsidR="00E940D1" w:rsidRPr="00E940D1" w:rsidRDefault="00E940D1" w:rsidP="00E940D1">
            <w:pPr>
              <w:spacing w:after="160" w:line="278" w:lineRule="auto"/>
            </w:pPr>
            <w:r>
              <w:t>40</w:t>
            </w:r>
            <w:r w:rsidRPr="00E940D1">
              <w:t>,000</w:t>
            </w:r>
          </w:p>
        </w:tc>
        <w:tc>
          <w:tcPr>
            <w:tcW w:w="2158" w:type="dxa"/>
            <w:hideMark/>
          </w:tcPr>
          <w:p w14:paraId="692BEACF" w14:textId="424C6453" w:rsidR="00E940D1" w:rsidRPr="00E940D1" w:rsidRDefault="00E940D1" w:rsidP="00E940D1">
            <w:pPr>
              <w:spacing w:after="160" w:line="278" w:lineRule="auto"/>
            </w:pPr>
            <w:r>
              <w:t>40</w:t>
            </w:r>
            <w:r w:rsidRPr="00E940D1">
              <w:t>,000</w:t>
            </w:r>
          </w:p>
        </w:tc>
      </w:tr>
      <w:tr w:rsidR="00E940D1" w:rsidRPr="00E940D1" w14:paraId="2C1C990E" w14:textId="77777777" w:rsidTr="00E940D1">
        <w:tc>
          <w:tcPr>
            <w:tcW w:w="0" w:type="auto"/>
            <w:hideMark/>
          </w:tcPr>
          <w:p w14:paraId="16518066" w14:textId="77777777" w:rsidR="00E940D1" w:rsidRPr="00E940D1" w:rsidRDefault="00E940D1" w:rsidP="00E940D1">
            <w:pPr>
              <w:spacing w:after="160" w:line="278" w:lineRule="auto"/>
            </w:pPr>
          </w:p>
        </w:tc>
        <w:tc>
          <w:tcPr>
            <w:tcW w:w="0" w:type="auto"/>
            <w:hideMark/>
          </w:tcPr>
          <w:p w14:paraId="4FB776E9" w14:textId="77777777" w:rsidR="00E940D1" w:rsidRPr="00E940D1" w:rsidRDefault="00E940D1" w:rsidP="00E940D1">
            <w:pPr>
              <w:spacing w:after="160" w:line="278" w:lineRule="auto"/>
            </w:pPr>
            <w:r w:rsidRPr="00E940D1">
              <w:t>School Outreach Packages</w:t>
            </w:r>
          </w:p>
        </w:tc>
        <w:tc>
          <w:tcPr>
            <w:tcW w:w="0" w:type="auto"/>
            <w:hideMark/>
          </w:tcPr>
          <w:p w14:paraId="4C59A8C7" w14:textId="77777777" w:rsidR="00E940D1" w:rsidRPr="00E940D1" w:rsidRDefault="00E940D1" w:rsidP="00E940D1">
            <w:pPr>
              <w:spacing w:after="160" w:line="278" w:lineRule="auto"/>
            </w:pPr>
            <w:r w:rsidRPr="00E940D1">
              <w:t>5 schools</w:t>
            </w:r>
          </w:p>
        </w:tc>
        <w:tc>
          <w:tcPr>
            <w:tcW w:w="0" w:type="auto"/>
            <w:hideMark/>
          </w:tcPr>
          <w:p w14:paraId="26ACB5DB" w14:textId="688C7B49" w:rsidR="00E940D1" w:rsidRPr="00E940D1" w:rsidRDefault="00E940D1" w:rsidP="00E940D1">
            <w:pPr>
              <w:spacing w:after="160" w:line="278" w:lineRule="auto"/>
            </w:pPr>
            <w:r>
              <w:t>10</w:t>
            </w:r>
            <w:r w:rsidRPr="00E940D1">
              <w:t>,000</w:t>
            </w:r>
          </w:p>
        </w:tc>
        <w:tc>
          <w:tcPr>
            <w:tcW w:w="2158" w:type="dxa"/>
            <w:hideMark/>
          </w:tcPr>
          <w:p w14:paraId="4AC96B0C" w14:textId="1558957F" w:rsidR="00E940D1" w:rsidRPr="00E940D1" w:rsidRDefault="00E940D1" w:rsidP="00E940D1">
            <w:pPr>
              <w:spacing w:after="160" w:line="278" w:lineRule="auto"/>
            </w:pPr>
            <w:r>
              <w:t>50</w:t>
            </w:r>
            <w:r w:rsidRPr="00E940D1">
              <w:t>,000</w:t>
            </w:r>
          </w:p>
        </w:tc>
      </w:tr>
      <w:tr w:rsidR="00E940D1" w:rsidRPr="00E940D1" w14:paraId="66CF6328" w14:textId="77777777" w:rsidTr="00E940D1">
        <w:tc>
          <w:tcPr>
            <w:tcW w:w="0" w:type="auto"/>
            <w:hideMark/>
          </w:tcPr>
          <w:p w14:paraId="602884ED" w14:textId="77777777" w:rsidR="00E940D1" w:rsidRPr="00E940D1" w:rsidRDefault="00E940D1" w:rsidP="00E940D1">
            <w:pPr>
              <w:spacing w:after="160" w:line="278" w:lineRule="auto"/>
            </w:pPr>
            <w:r w:rsidRPr="00E940D1">
              <w:rPr>
                <w:b/>
                <w:bCs/>
              </w:rPr>
              <w:t>B. Training and Capacity Building</w:t>
            </w:r>
          </w:p>
        </w:tc>
        <w:tc>
          <w:tcPr>
            <w:tcW w:w="0" w:type="auto"/>
            <w:hideMark/>
          </w:tcPr>
          <w:p w14:paraId="0D8065F2" w14:textId="77777777" w:rsidR="00E940D1" w:rsidRPr="00E940D1" w:rsidRDefault="00E940D1" w:rsidP="00E940D1">
            <w:pPr>
              <w:spacing w:after="160" w:line="278" w:lineRule="auto"/>
            </w:pPr>
          </w:p>
        </w:tc>
        <w:tc>
          <w:tcPr>
            <w:tcW w:w="0" w:type="auto"/>
            <w:hideMark/>
          </w:tcPr>
          <w:p w14:paraId="11D3B355" w14:textId="77777777" w:rsidR="00E940D1" w:rsidRPr="00E940D1" w:rsidRDefault="00E940D1" w:rsidP="00E940D1">
            <w:pPr>
              <w:spacing w:after="160" w:line="278" w:lineRule="auto"/>
            </w:pPr>
          </w:p>
        </w:tc>
        <w:tc>
          <w:tcPr>
            <w:tcW w:w="0" w:type="auto"/>
            <w:hideMark/>
          </w:tcPr>
          <w:p w14:paraId="0193831F" w14:textId="77777777" w:rsidR="00E940D1" w:rsidRPr="00E940D1" w:rsidRDefault="00E940D1" w:rsidP="00E940D1">
            <w:pPr>
              <w:spacing w:after="160" w:line="278" w:lineRule="auto"/>
            </w:pPr>
          </w:p>
        </w:tc>
        <w:tc>
          <w:tcPr>
            <w:tcW w:w="2158" w:type="dxa"/>
            <w:hideMark/>
          </w:tcPr>
          <w:p w14:paraId="1319FB6E" w14:textId="77777777" w:rsidR="00E940D1" w:rsidRPr="00E940D1" w:rsidRDefault="00E940D1" w:rsidP="00E940D1">
            <w:pPr>
              <w:spacing w:after="160" w:line="278" w:lineRule="auto"/>
            </w:pPr>
          </w:p>
        </w:tc>
      </w:tr>
      <w:tr w:rsidR="00E940D1" w:rsidRPr="00E940D1" w14:paraId="28017EA1" w14:textId="77777777" w:rsidTr="00E940D1">
        <w:tc>
          <w:tcPr>
            <w:tcW w:w="0" w:type="auto"/>
            <w:hideMark/>
          </w:tcPr>
          <w:p w14:paraId="3D1BE3B7" w14:textId="77777777" w:rsidR="00E940D1" w:rsidRPr="00E940D1" w:rsidRDefault="00E940D1" w:rsidP="00E940D1">
            <w:pPr>
              <w:spacing w:after="160" w:line="278" w:lineRule="auto"/>
            </w:pPr>
          </w:p>
        </w:tc>
        <w:tc>
          <w:tcPr>
            <w:tcW w:w="0" w:type="auto"/>
            <w:hideMark/>
          </w:tcPr>
          <w:p w14:paraId="71FBAE1B" w14:textId="77777777" w:rsidR="00E940D1" w:rsidRPr="00E940D1" w:rsidRDefault="00E940D1" w:rsidP="00E940D1">
            <w:pPr>
              <w:spacing w:after="160" w:line="278" w:lineRule="auto"/>
            </w:pPr>
            <w:r w:rsidRPr="00E940D1">
              <w:t>Community Champions Training Workshop</w:t>
            </w:r>
          </w:p>
        </w:tc>
        <w:tc>
          <w:tcPr>
            <w:tcW w:w="0" w:type="auto"/>
            <w:hideMark/>
          </w:tcPr>
          <w:p w14:paraId="5F533EB6" w14:textId="77777777" w:rsidR="00E940D1" w:rsidRPr="00E940D1" w:rsidRDefault="00E940D1" w:rsidP="00E940D1">
            <w:pPr>
              <w:spacing w:after="160" w:line="278" w:lineRule="auto"/>
            </w:pPr>
            <w:r w:rsidRPr="00E940D1">
              <w:t>20 pax</w:t>
            </w:r>
          </w:p>
        </w:tc>
        <w:tc>
          <w:tcPr>
            <w:tcW w:w="0" w:type="auto"/>
            <w:hideMark/>
          </w:tcPr>
          <w:p w14:paraId="1799C488" w14:textId="5FF2EE4C" w:rsidR="00E940D1" w:rsidRPr="00E940D1" w:rsidRDefault="00E940D1" w:rsidP="00E940D1">
            <w:pPr>
              <w:spacing w:after="160" w:line="278" w:lineRule="auto"/>
            </w:pPr>
            <w:r>
              <w:t>5,000</w:t>
            </w:r>
          </w:p>
        </w:tc>
        <w:tc>
          <w:tcPr>
            <w:tcW w:w="2158" w:type="dxa"/>
            <w:hideMark/>
          </w:tcPr>
          <w:p w14:paraId="011544EA" w14:textId="51C38A04" w:rsidR="00E940D1" w:rsidRPr="00E940D1" w:rsidRDefault="00E940D1" w:rsidP="00E940D1">
            <w:pPr>
              <w:spacing w:after="160" w:line="278" w:lineRule="auto"/>
            </w:pPr>
            <w:r>
              <w:t>100,000</w:t>
            </w:r>
          </w:p>
        </w:tc>
      </w:tr>
      <w:tr w:rsidR="00E940D1" w:rsidRPr="00E940D1" w14:paraId="329517EA" w14:textId="77777777" w:rsidTr="00E940D1">
        <w:tc>
          <w:tcPr>
            <w:tcW w:w="0" w:type="auto"/>
            <w:hideMark/>
          </w:tcPr>
          <w:p w14:paraId="5C63B41D" w14:textId="77777777" w:rsidR="00E940D1" w:rsidRPr="00E940D1" w:rsidRDefault="00E940D1" w:rsidP="00E940D1">
            <w:pPr>
              <w:spacing w:after="160" w:line="278" w:lineRule="auto"/>
            </w:pPr>
          </w:p>
        </w:tc>
        <w:tc>
          <w:tcPr>
            <w:tcW w:w="0" w:type="auto"/>
            <w:hideMark/>
          </w:tcPr>
          <w:p w14:paraId="7801A8C4" w14:textId="77777777" w:rsidR="00E940D1" w:rsidRPr="00E940D1" w:rsidRDefault="00E940D1" w:rsidP="00E940D1">
            <w:pPr>
              <w:spacing w:after="160" w:line="278" w:lineRule="auto"/>
            </w:pPr>
            <w:r w:rsidRPr="00E940D1">
              <w:t>Training Materials and Certificates</w:t>
            </w:r>
          </w:p>
        </w:tc>
        <w:tc>
          <w:tcPr>
            <w:tcW w:w="0" w:type="auto"/>
            <w:hideMark/>
          </w:tcPr>
          <w:p w14:paraId="72B462D5" w14:textId="77777777" w:rsidR="00E940D1" w:rsidRPr="00E940D1" w:rsidRDefault="00E940D1" w:rsidP="00E940D1">
            <w:pPr>
              <w:spacing w:after="160" w:line="278" w:lineRule="auto"/>
            </w:pPr>
            <w:r w:rsidRPr="00E940D1">
              <w:t>20 kits</w:t>
            </w:r>
          </w:p>
        </w:tc>
        <w:tc>
          <w:tcPr>
            <w:tcW w:w="0" w:type="auto"/>
            <w:hideMark/>
          </w:tcPr>
          <w:p w14:paraId="0D407A7F" w14:textId="33E9573A" w:rsidR="00E940D1" w:rsidRPr="00E940D1" w:rsidRDefault="00E940D1" w:rsidP="00E940D1">
            <w:pPr>
              <w:spacing w:after="160" w:line="278" w:lineRule="auto"/>
            </w:pPr>
            <w:r>
              <w:t>3,000</w:t>
            </w:r>
          </w:p>
        </w:tc>
        <w:tc>
          <w:tcPr>
            <w:tcW w:w="2158" w:type="dxa"/>
            <w:hideMark/>
          </w:tcPr>
          <w:p w14:paraId="7DA80A03" w14:textId="12150E2B" w:rsidR="00E940D1" w:rsidRPr="00E940D1" w:rsidRDefault="00E940D1" w:rsidP="00E940D1">
            <w:pPr>
              <w:spacing w:after="160" w:line="278" w:lineRule="auto"/>
            </w:pPr>
            <w:r>
              <w:t>6</w:t>
            </w:r>
            <w:r w:rsidRPr="00E940D1">
              <w:t>0,000</w:t>
            </w:r>
          </w:p>
        </w:tc>
      </w:tr>
      <w:tr w:rsidR="00E940D1" w:rsidRPr="00E940D1" w14:paraId="7648D7C9" w14:textId="77777777" w:rsidTr="00E940D1">
        <w:tc>
          <w:tcPr>
            <w:tcW w:w="0" w:type="auto"/>
            <w:hideMark/>
          </w:tcPr>
          <w:p w14:paraId="1CC34B8B" w14:textId="77777777" w:rsidR="00E940D1" w:rsidRPr="00E940D1" w:rsidRDefault="00E940D1" w:rsidP="00E940D1">
            <w:pPr>
              <w:spacing w:after="160" w:line="278" w:lineRule="auto"/>
            </w:pPr>
            <w:r w:rsidRPr="00E940D1">
              <w:rPr>
                <w:b/>
                <w:bCs/>
              </w:rPr>
              <w:t>C. Communication and Branding</w:t>
            </w:r>
          </w:p>
        </w:tc>
        <w:tc>
          <w:tcPr>
            <w:tcW w:w="0" w:type="auto"/>
            <w:hideMark/>
          </w:tcPr>
          <w:p w14:paraId="0B35DDAE" w14:textId="77777777" w:rsidR="00E940D1" w:rsidRPr="00E940D1" w:rsidRDefault="00E940D1" w:rsidP="00E940D1">
            <w:pPr>
              <w:spacing w:after="160" w:line="278" w:lineRule="auto"/>
            </w:pPr>
          </w:p>
        </w:tc>
        <w:tc>
          <w:tcPr>
            <w:tcW w:w="0" w:type="auto"/>
            <w:hideMark/>
          </w:tcPr>
          <w:p w14:paraId="2C8608F2" w14:textId="77777777" w:rsidR="00E940D1" w:rsidRPr="00E940D1" w:rsidRDefault="00E940D1" w:rsidP="00E940D1">
            <w:pPr>
              <w:spacing w:after="160" w:line="278" w:lineRule="auto"/>
            </w:pPr>
          </w:p>
        </w:tc>
        <w:tc>
          <w:tcPr>
            <w:tcW w:w="0" w:type="auto"/>
            <w:hideMark/>
          </w:tcPr>
          <w:p w14:paraId="2D11F040" w14:textId="77777777" w:rsidR="00E940D1" w:rsidRPr="00E940D1" w:rsidRDefault="00E940D1" w:rsidP="00E940D1">
            <w:pPr>
              <w:spacing w:after="160" w:line="278" w:lineRule="auto"/>
            </w:pPr>
          </w:p>
        </w:tc>
        <w:tc>
          <w:tcPr>
            <w:tcW w:w="2158" w:type="dxa"/>
            <w:hideMark/>
          </w:tcPr>
          <w:p w14:paraId="243A93E7" w14:textId="77777777" w:rsidR="00E940D1" w:rsidRPr="00E940D1" w:rsidRDefault="00E940D1" w:rsidP="00E940D1">
            <w:pPr>
              <w:spacing w:after="160" w:line="278" w:lineRule="auto"/>
            </w:pPr>
          </w:p>
        </w:tc>
      </w:tr>
      <w:tr w:rsidR="00E940D1" w:rsidRPr="00E940D1" w14:paraId="10CF7259" w14:textId="77777777" w:rsidTr="00E940D1">
        <w:tc>
          <w:tcPr>
            <w:tcW w:w="0" w:type="auto"/>
            <w:hideMark/>
          </w:tcPr>
          <w:p w14:paraId="638B362D" w14:textId="77777777" w:rsidR="00E940D1" w:rsidRPr="00E940D1" w:rsidRDefault="00E940D1" w:rsidP="00E940D1">
            <w:pPr>
              <w:spacing w:after="160" w:line="278" w:lineRule="auto"/>
            </w:pPr>
          </w:p>
        </w:tc>
        <w:tc>
          <w:tcPr>
            <w:tcW w:w="0" w:type="auto"/>
            <w:hideMark/>
          </w:tcPr>
          <w:p w14:paraId="6EAA356F" w14:textId="77777777" w:rsidR="00E940D1" w:rsidRPr="00E940D1" w:rsidRDefault="00E940D1" w:rsidP="00E940D1">
            <w:pPr>
              <w:spacing w:after="160" w:line="278" w:lineRule="auto"/>
            </w:pPr>
            <w:r w:rsidRPr="00E940D1">
              <w:t>Banners, Flyers and IEC Materials</w:t>
            </w:r>
          </w:p>
        </w:tc>
        <w:tc>
          <w:tcPr>
            <w:tcW w:w="0" w:type="auto"/>
            <w:hideMark/>
          </w:tcPr>
          <w:p w14:paraId="12D0E268" w14:textId="77777777" w:rsidR="00E940D1" w:rsidRPr="00E940D1" w:rsidRDefault="00E940D1" w:rsidP="00E940D1">
            <w:pPr>
              <w:spacing w:after="160" w:line="278" w:lineRule="auto"/>
            </w:pPr>
            <w:r w:rsidRPr="00E940D1">
              <w:t>1 lot</w:t>
            </w:r>
          </w:p>
        </w:tc>
        <w:tc>
          <w:tcPr>
            <w:tcW w:w="0" w:type="auto"/>
            <w:hideMark/>
          </w:tcPr>
          <w:p w14:paraId="728A65A7" w14:textId="77777777" w:rsidR="00E940D1" w:rsidRPr="00E940D1" w:rsidRDefault="00E940D1" w:rsidP="00E940D1">
            <w:pPr>
              <w:spacing w:after="160" w:line="278" w:lineRule="auto"/>
            </w:pPr>
            <w:r w:rsidRPr="00E940D1">
              <w:t>50,000</w:t>
            </w:r>
          </w:p>
        </w:tc>
        <w:tc>
          <w:tcPr>
            <w:tcW w:w="2158" w:type="dxa"/>
            <w:hideMark/>
          </w:tcPr>
          <w:p w14:paraId="426AA883" w14:textId="77777777" w:rsidR="00E940D1" w:rsidRPr="00E940D1" w:rsidRDefault="00E940D1" w:rsidP="00E940D1">
            <w:pPr>
              <w:spacing w:after="160" w:line="278" w:lineRule="auto"/>
            </w:pPr>
            <w:r w:rsidRPr="00E940D1">
              <w:t>50,000</w:t>
            </w:r>
          </w:p>
        </w:tc>
      </w:tr>
      <w:tr w:rsidR="00E940D1" w:rsidRPr="00E940D1" w14:paraId="24A0640C" w14:textId="77777777" w:rsidTr="00E940D1">
        <w:tc>
          <w:tcPr>
            <w:tcW w:w="0" w:type="auto"/>
            <w:hideMark/>
          </w:tcPr>
          <w:p w14:paraId="01628220" w14:textId="77777777" w:rsidR="00E940D1" w:rsidRPr="00E940D1" w:rsidRDefault="00E940D1" w:rsidP="00E940D1">
            <w:pPr>
              <w:spacing w:after="160" w:line="278" w:lineRule="auto"/>
            </w:pPr>
          </w:p>
        </w:tc>
        <w:tc>
          <w:tcPr>
            <w:tcW w:w="0" w:type="auto"/>
            <w:hideMark/>
          </w:tcPr>
          <w:p w14:paraId="3B26A52C" w14:textId="77777777" w:rsidR="00E940D1" w:rsidRPr="00E940D1" w:rsidRDefault="00E940D1" w:rsidP="00E940D1">
            <w:pPr>
              <w:spacing w:after="160" w:line="278" w:lineRule="auto"/>
            </w:pPr>
            <w:r w:rsidRPr="00E940D1">
              <w:t>Photography and Documentation</w:t>
            </w:r>
          </w:p>
        </w:tc>
        <w:tc>
          <w:tcPr>
            <w:tcW w:w="0" w:type="auto"/>
            <w:hideMark/>
          </w:tcPr>
          <w:p w14:paraId="549B4E85" w14:textId="77777777" w:rsidR="00E940D1" w:rsidRPr="00E940D1" w:rsidRDefault="00E940D1" w:rsidP="00E940D1">
            <w:pPr>
              <w:spacing w:after="160" w:line="278" w:lineRule="auto"/>
            </w:pPr>
            <w:r w:rsidRPr="00E940D1">
              <w:t>1</w:t>
            </w:r>
          </w:p>
        </w:tc>
        <w:tc>
          <w:tcPr>
            <w:tcW w:w="0" w:type="auto"/>
            <w:hideMark/>
          </w:tcPr>
          <w:p w14:paraId="652018D5" w14:textId="5BB1C78D" w:rsidR="00E940D1" w:rsidRPr="00E940D1" w:rsidRDefault="00E940D1" w:rsidP="00E940D1">
            <w:pPr>
              <w:spacing w:after="160" w:line="278" w:lineRule="auto"/>
            </w:pPr>
            <w:r>
              <w:t>4</w:t>
            </w:r>
            <w:r w:rsidRPr="00E940D1">
              <w:t>0,000</w:t>
            </w:r>
          </w:p>
        </w:tc>
        <w:tc>
          <w:tcPr>
            <w:tcW w:w="2158" w:type="dxa"/>
            <w:hideMark/>
          </w:tcPr>
          <w:p w14:paraId="1B659F63" w14:textId="28AC5B91" w:rsidR="00E940D1" w:rsidRPr="00E940D1" w:rsidRDefault="009A4569" w:rsidP="00E940D1">
            <w:pPr>
              <w:spacing w:after="160" w:line="278" w:lineRule="auto"/>
            </w:pPr>
            <w:r>
              <w:t>4</w:t>
            </w:r>
            <w:r w:rsidR="00E940D1" w:rsidRPr="00E940D1">
              <w:t>0,000</w:t>
            </w:r>
          </w:p>
        </w:tc>
      </w:tr>
      <w:tr w:rsidR="00E940D1" w:rsidRPr="00E940D1" w14:paraId="32D3BFF0" w14:textId="77777777" w:rsidTr="00E940D1">
        <w:tc>
          <w:tcPr>
            <w:tcW w:w="0" w:type="auto"/>
            <w:hideMark/>
          </w:tcPr>
          <w:p w14:paraId="382AD3FC" w14:textId="77777777" w:rsidR="00E940D1" w:rsidRPr="00E940D1" w:rsidRDefault="00E940D1" w:rsidP="00E940D1">
            <w:pPr>
              <w:spacing w:after="160" w:line="278" w:lineRule="auto"/>
            </w:pPr>
            <w:r w:rsidRPr="00E940D1">
              <w:rPr>
                <w:b/>
                <w:bCs/>
              </w:rPr>
              <w:t>D. Monitoring and Evaluation</w:t>
            </w:r>
          </w:p>
        </w:tc>
        <w:tc>
          <w:tcPr>
            <w:tcW w:w="0" w:type="auto"/>
            <w:hideMark/>
          </w:tcPr>
          <w:p w14:paraId="5E134A27" w14:textId="77777777" w:rsidR="00E940D1" w:rsidRPr="00E940D1" w:rsidRDefault="00E940D1" w:rsidP="00E940D1">
            <w:pPr>
              <w:spacing w:after="160" w:line="278" w:lineRule="auto"/>
            </w:pPr>
          </w:p>
        </w:tc>
        <w:tc>
          <w:tcPr>
            <w:tcW w:w="0" w:type="auto"/>
            <w:hideMark/>
          </w:tcPr>
          <w:p w14:paraId="2510B1AE" w14:textId="77777777" w:rsidR="00E940D1" w:rsidRPr="00E940D1" w:rsidRDefault="00E940D1" w:rsidP="00E940D1">
            <w:pPr>
              <w:spacing w:after="160" w:line="278" w:lineRule="auto"/>
            </w:pPr>
          </w:p>
        </w:tc>
        <w:tc>
          <w:tcPr>
            <w:tcW w:w="0" w:type="auto"/>
            <w:hideMark/>
          </w:tcPr>
          <w:p w14:paraId="0C7D2F30" w14:textId="77777777" w:rsidR="00E940D1" w:rsidRPr="00E940D1" w:rsidRDefault="00E940D1" w:rsidP="00E940D1">
            <w:pPr>
              <w:spacing w:after="160" w:line="278" w:lineRule="auto"/>
            </w:pPr>
          </w:p>
        </w:tc>
        <w:tc>
          <w:tcPr>
            <w:tcW w:w="2158" w:type="dxa"/>
            <w:hideMark/>
          </w:tcPr>
          <w:p w14:paraId="39880926" w14:textId="77777777" w:rsidR="00E940D1" w:rsidRPr="00E940D1" w:rsidRDefault="00E940D1" w:rsidP="00E940D1">
            <w:pPr>
              <w:spacing w:after="160" w:line="278" w:lineRule="auto"/>
            </w:pPr>
          </w:p>
        </w:tc>
      </w:tr>
      <w:tr w:rsidR="00E940D1" w:rsidRPr="00E940D1" w14:paraId="2B50331F" w14:textId="77777777" w:rsidTr="00E940D1">
        <w:tc>
          <w:tcPr>
            <w:tcW w:w="0" w:type="auto"/>
            <w:hideMark/>
          </w:tcPr>
          <w:p w14:paraId="00771875" w14:textId="77777777" w:rsidR="00E940D1" w:rsidRPr="00E940D1" w:rsidRDefault="00E940D1" w:rsidP="00E940D1">
            <w:pPr>
              <w:spacing w:after="160" w:line="278" w:lineRule="auto"/>
            </w:pPr>
          </w:p>
        </w:tc>
        <w:tc>
          <w:tcPr>
            <w:tcW w:w="0" w:type="auto"/>
            <w:hideMark/>
          </w:tcPr>
          <w:p w14:paraId="73F1F1CE" w14:textId="77777777" w:rsidR="00E940D1" w:rsidRPr="00E940D1" w:rsidRDefault="00E940D1" w:rsidP="00E940D1">
            <w:pPr>
              <w:spacing w:after="160" w:line="278" w:lineRule="auto"/>
            </w:pPr>
            <w:r w:rsidRPr="00E940D1">
              <w:t>Baseline and Endline Surveys</w:t>
            </w:r>
          </w:p>
        </w:tc>
        <w:tc>
          <w:tcPr>
            <w:tcW w:w="0" w:type="auto"/>
            <w:hideMark/>
          </w:tcPr>
          <w:p w14:paraId="23D6599C" w14:textId="77777777" w:rsidR="00E940D1" w:rsidRPr="00E940D1" w:rsidRDefault="00E940D1" w:rsidP="00E940D1">
            <w:pPr>
              <w:spacing w:after="160" w:line="278" w:lineRule="auto"/>
            </w:pPr>
            <w:r w:rsidRPr="00E940D1">
              <w:t>1</w:t>
            </w:r>
          </w:p>
        </w:tc>
        <w:tc>
          <w:tcPr>
            <w:tcW w:w="0" w:type="auto"/>
            <w:hideMark/>
          </w:tcPr>
          <w:p w14:paraId="713878BB" w14:textId="77777777" w:rsidR="00E940D1" w:rsidRPr="00E940D1" w:rsidRDefault="00E940D1" w:rsidP="00E940D1">
            <w:pPr>
              <w:spacing w:after="160" w:line="278" w:lineRule="auto"/>
            </w:pPr>
            <w:r w:rsidRPr="00E940D1">
              <w:t>30,000</w:t>
            </w:r>
          </w:p>
        </w:tc>
        <w:tc>
          <w:tcPr>
            <w:tcW w:w="2158" w:type="dxa"/>
            <w:hideMark/>
          </w:tcPr>
          <w:p w14:paraId="1E7C8D94" w14:textId="77777777" w:rsidR="00E940D1" w:rsidRPr="00E940D1" w:rsidRDefault="00E940D1" w:rsidP="00E940D1">
            <w:pPr>
              <w:spacing w:after="160" w:line="278" w:lineRule="auto"/>
            </w:pPr>
            <w:r w:rsidRPr="00E940D1">
              <w:t>30,000</w:t>
            </w:r>
          </w:p>
        </w:tc>
      </w:tr>
      <w:tr w:rsidR="00E940D1" w:rsidRPr="00E940D1" w14:paraId="25172B95" w14:textId="77777777" w:rsidTr="00E940D1">
        <w:tc>
          <w:tcPr>
            <w:tcW w:w="0" w:type="auto"/>
            <w:hideMark/>
          </w:tcPr>
          <w:p w14:paraId="3EC5E342" w14:textId="77777777" w:rsidR="00E940D1" w:rsidRPr="00E940D1" w:rsidRDefault="00E940D1" w:rsidP="00E940D1">
            <w:pPr>
              <w:spacing w:after="160" w:line="278" w:lineRule="auto"/>
            </w:pPr>
            <w:r w:rsidRPr="00E940D1">
              <w:rPr>
                <w:b/>
                <w:bCs/>
              </w:rPr>
              <w:t>E. Contingency</w:t>
            </w:r>
          </w:p>
        </w:tc>
        <w:tc>
          <w:tcPr>
            <w:tcW w:w="0" w:type="auto"/>
            <w:hideMark/>
          </w:tcPr>
          <w:p w14:paraId="48AC4141" w14:textId="77777777" w:rsidR="00E940D1" w:rsidRPr="00E940D1" w:rsidRDefault="00E940D1" w:rsidP="00E940D1">
            <w:pPr>
              <w:spacing w:after="160" w:line="278" w:lineRule="auto"/>
            </w:pPr>
            <w:r w:rsidRPr="00E940D1">
              <w:t>(5% of total)</w:t>
            </w:r>
          </w:p>
        </w:tc>
        <w:tc>
          <w:tcPr>
            <w:tcW w:w="0" w:type="auto"/>
            <w:hideMark/>
          </w:tcPr>
          <w:p w14:paraId="13503222" w14:textId="77777777" w:rsidR="00E940D1" w:rsidRPr="00E940D1" w:rsidRDefault="00E940D1" w:rsidP="00E940D1">
            <w:pPr>
              <w:spacing w:after="160" w:line="278" w:lineRule="auto"/>
            </w:pPr>
          </w:p>
        </w:tc>
        <w:tc>
          <w:tcPr>
            <w:tcW w:w="0" w:type="auto"/>
            <w:hideMark/>
          </w:tcPr>
          <w:p w14:paraId="069FFBD3" w14:textId="77777777" w:rsidR="00E940D1" w:rsidRPr="00E940D1" w:rsidRDefault="00E940D1" w:rsidP="00E940D1">
            <w:pPr>
              <w:spacing w:after="160" w:line="278" w:lineRule="auto"/>
            </w:pPr>
          </w:p>
        </w:tc>
        <w:tc>
          <w:tcPr>
            <w:tcW w:w="2158" w:type="dxa"/>
            <w:hideMark/>
          </w:tcPr>
          <w:p w14:paraId="428C8D57" w14:textId="45A01A69" w:rsidR="00E940D1" w:rsidRPr="00E940D1" w:rsidRDefault="009A4569" w:rsidP="00E940D1">
            <w:pPr>
              <w:spacing w:after="160" w:line="278" w:lineRule="auto"/>
            </w:pPr>
            <w:r>
              <w:t>24,500</w:t>
            </w:r>
          </w:p>
        </w:tc>
      </w:tr>
      <w:tr w:rsidR="00E940D1" w:rsidRPr="00E940D1" w14:paraId="2C57F95D" w14:textId="77777777" w:rsidTr="00E940D1">
        <w:tc>
          <w:tcPr>
            <w:tcW w:w="0" w:type="auto"/>
            <w:hideMark/>
          </w:tcPr>
          <w:p w14:paraId="04EFB8F7" w14:textId="77777777" w:rsidR="00E940D1" w:rsidRPr="00E940D1" w:rsidRDefault="00E940D1" w:rsidP="00E940D1">
            <w:pPr>
              <w:spacing w:after="160" w:line="278" w:lineRule="auto"/>
            </w:pPr>
          </w:p>
        </w:tc>
        <w:tc>
          <w:tcPr>
            <w:tcW w:w="0" w:type="auto"/>
            <w:hideMark/>
          </w:tcPr>
          <w:p w14:paraId="7B979A4B" w14:textId="77777777" w:rsidR="00E940D1" w:rsidRPr="00E940D1" w:rsidRDefault="00E940D1" w:rsidP="00E940D1">
            <w:pPr>
              <w:spacing w:after="160" w:line="278" w:lineRule="auto"/>
            </w:pPr>
            <w:r w:rsidRPr="00E940D1">
              <w:rPr>
                <w:b/>
                <w:bCs/>
              </w:rPr>
              <w:t>GRAND TOTAL</w:t>
            </w:r>
          </w:p>
        </w:tc>
        <w:tc>
          <w:tcPr>
            <w:tcW w:w="0" w:type="auto"/>
            <w:hideMark/>
          </w:tcPr>
          <w:p w14:paraId="020722CA" w14:textId="77777777" w:rsidR="00E940D1" w:rsidRPr="00E940D1" w:rsidRDefault="00E940D1" w:rsidP="00E940D1">
            <w:pPr>
              <w:spacing w:after="160" w:line="278" w:lineRule="auto"/>
            </w:pPr>
          </w:p>
        </w:tc>
        <w:tc>
          <w:tcPr>
            <w:tcW w:w="0" w:type="auto"/>
            <w:hideMark/>
          </w:tcPr>
          <w:p w14:paraId="66CE5674" w14:textId="77777777" w:rsidR="00E940D1" w:rsidRPr="00E940D1" w:rsidRDefault="00E940D1" w:rsidP="00E940D1">
            <w:pPr>
              <w:spacing w:after="160" w:line="278" w:lineRule="auto"/>
            </w:pPr>
          </w:p>
        </w:tc>
        <w:tc>
          <w:tcPr>
            <w:tcW w:w="2158" w:type="dxa"/>
            <w:hideMark/>
          </w:tcPr>
          <w:p w14:paraId="14D78D64" w14:textId="1E6F31AE" w:rsidR="00E940D1" w:rsidRPr="00E940D1" w:rsidRDefault="009A4569" w:rsidP="00E940D1">
            <w:pPr>
              <w:spacing w:after="160" w:line="278" w:lineRule="auto"/>
            </w:pPr>
            <w:r>
              <w:rPr>
                <w:b/>
                <w:bCs/>
              </w:rPr>
              <w:t>514,500</w:t>
            </w:r>
          </w:p>
        </w:tc>
      </w:tr>
    </w:tbl>
    <w:p w14:paraId="47F897A2" w14:textId="77777777" w:rsidR="009A4569" w:rsidRDefault="009A4569" w:rsidP="00E940D1"/>
    <w:p w14:paraId="7835D673" w14:textId="2AD1A6CC" w:rsidR="00E940D1" w:rsidRPr="00E940D1" w:rsidRDefault="00E940D1" w:rsidP="00E940D1">
      <w:pPr>
        <w:rPr>
          <w:b/>
          <w:bCs/>
        </w:rPr>
      </w:pPr>
      <w:r w:rsidRPr="00E940D1">
        <w:rPr>
          <w:b/>
          <w:bCs/>
        </w:rPr>
        <w:t>7.0 Monitoring, Evaluation and Impact</w:t>
      </w:r>
    </w:p>
    <w:p w14:paraId="4470F46F" w14:textId="5010387B" w:rsidR="00E940D1" w:rsidRPr="00E940D1" w:rsidRDefault="00E940D1" w:rsidP="00E940D1">
      <w:pPr>
        <w:numPr>
          <w:ilvl w:val="0"/>
          <w:numId w:val="2"/>
        </w:numPr>
      </w:pPr>
      <w:r w:rsidRPr="00E940D1">
        <w:rPr>
          <w:b/>
          <w:bCs/>
        </w:rPr>
        <w:t>Indicator 1:</w:t>
      </w:r>
      <w:r w:rsidRPr="00E940D1">
        <w:t xml:space="preserve"> Number of households reached directly (Target: </w:t>
      </w:r>
      <w:r w:rsidR="009A4569">
        <w:t>10</w:t>
      </w:r>
      <w:r w:rsidRPr="00E940D1">
        <w:t>00).</w:t>
      </w:r>
    </w:p>
    <w:p w14:paraId="3C5E2D80" w14:textId="77777777" w:rsidR="00E940D1" w:rsidRPr="00E940D1" w:rsidRDefault="00E940D1" w:rsidP="00E940D1">
      <w:pPr>
        <w:numPr>
          <w:ilvl w:val="0"/>
          <w:numId w:val="2"/>
        </w:numPr>
      </w:pPr>
      <w:r w:rsidRPr="00E940D1">
        <w:rPr>
          <w:b/>
          <w:bCs/>
        </w:rPr>
        <w:t>Indicator 2:</w:t>
      </w:r>
      <w:r w:rsidRPr="00E940D1">
        <w:t> Number of illegal connections reported via official channels post-project (Target: Increase by 25%).</w:t>
      </w:r>
    </w:p>
    <w:p w14:paraId="040465EA" w14:textId="77777777" w:rsidR="00E940D1" w:rsidRPr="00E940D1" w:rsidRDefault="00E940D1" w:rsidP="00E940D1">
      <w:pPr>
        <w:numPr>
          <w:ilvl w:val="0"/>
          <w:numId w:val="2"/>
        </w:numPr>
      </w:pPr>
      <w:r w:rsidRPr="00E940D1">
        <w:rPr>
          <w:b/>
          <w:bCs/>
        </w:rPr>
        <w:t>Indicator 3:</w:t>
      </w:r>
      <w:r w:rsidRPr="00E940D1">
        <w:t> Pre- and post-project survey results on trust in KPLC and knowledge of safe practices.</w:t>
      </w:r>
    </w:p>
    <w:p w14:paraId="37C67064" w14:textId="77777777" w:rsidR="00E940D1" w:rsidRPr="00E940D1" w:rsidRDefault="00E940D1" w:rsidP="00E940D1">
      <w:pPr>
        <w:numPr>
          <w:ilvl w:val="0"/>
          <w:numId w:val="2"/>
        </w:numPr>
      </w:pPr>
      <w:r w:rsidRPr="00E940D1">
        <w:rPr>
          <w:b/>
          <w:bCs/>
        </w:rPr>
        <w:t>Indicator 4:</w:t>
      </w:r>
      <w:r w:rsidRPr="00E940D1">
        <w:t> Successful training and deployment of 20 Community Power Champions.</w:t>
      </w:r>
    </w:p>
    <w:p w14:paraId="52D27083" w14:textId="77777777" w:rsidR="00E940D1" w:rsidRDefault="00E940D1" w:rsidP="00E940D1">
      <w:pPr>
        <w:numPr>
          <w:ilvl w:val="0"/>
          <w:numId w:val="2"/>
        </w:numPr>
      </w:pPr>
      <w:r w:rsidRPr="00E940D1">
        <w:rPr>
          <w:b/>
          <w:bCs/>
        </w:rPr>
        <w:t>Evaluation Method:</w:t>
      </w:r>
      <w:r w:rsidRPr="00E940D1">
        <w:t xml:space="preserve"> Mixed </w:t>
      </w:r>
      <w:proofErr w:type="gramStart"/>
      <w:r w:rsidRPr="00E940D1">
        <w:t>methods—</w:t>
      </w:r>
      <w:proofErr w:type="gramEnd"/>
      <w:r w:rsidRPr="00E940D1">
        <w:t>surveys, focus group discussions and activity reports.</w:t>
      </w:r>
    </w:p>
    <w:p w14:paraId="1D2E0C90" w14:textId="77777777" w:rsidR="009A4569" w:rsidRDefault="009A4569" w:rsidP="009A4569"/>
    <w:p w14:paraId="686E9697" w14:textId="77777777" w:rsidR="009A4569" w:rsidRDefault="009A4569" w:rsidP="009A4569"/>
    <w:p w14:paraId="492B912A" w14:textId="77777777" w:rsidR="009A4569" w:rsidRPr="00E940D1" w:rsidRDefault="009A4569" w:rsidP="009A4569"/>
    <w:p w14:paraId="3664DBD2" w14:textId="77777777" w:rsidR="009A4569" w:rsidRDefault="009A4569" w:rsidP="00E940D1"/>
    <w:p w14:paraId="3DC5193C" w14:textId="19539416" w:rsidR="00E940D1" w:rsidRPr="00E940D1" w:rsidRDefault="00E940D1" w:rsidP="00E940D1">
      <w:pPr>
        <w:rPr>
          <w:b/>
          <w:bCs/>
        </w:rPr>
      </w:pPr>
      <w:r w:rsidRPr="00E940D1">
        <w:rPr>
          <w:b/>
          <w:bCs/>
        </w:rPr>
        <w:lastRenderedPageBreak/>
        <w:t>8.0 Conclusion and Sustainability</w:t>
      </w:r>
    </w:p>
    <w:p w14:paraId="4D65E7D7" w14:textId="77777777" w:rsidR="00E940D1" w:rsidRPr="00E940D1" w:rsidRDefault="00E940D1" w:rsidP="009A4569">
      <w:pPr>
        <w:jc w:val="both"/>
      </w:pPr>
      <w:r w:rsidRPr="00E940D1">
        <w:t>This project does not create a new parallel initiative but strategically extends and deepens Kenya Power’s existing corporate campaigns. By framing it as </w:t>
      </w:r>
      <w:r w:rsidRPr="00E940D1">
        <w:rPr>
          <w:b/>
          <w:bCs/>
        </w:rPr>
        <w:t xml:space="preserve">“Pamoja </w:t>
      </w:r>
      <w:proofErr w:type="spellStart"/>
      <w:r w:rsidRPr="00E940D1">
        <w:rPr>
          <w:b/>
          <w:bCs/>
        </w:rPr>
        <w:t>Twang’aa</w:t>
      </w:r>
      <w:proofErr w:type="spellEnd"/>
      <w:r w:rsidRPr="00E940D1">
        <w:rPr>
          <w:b/>
          <w:bCs/>
        </w:rPr>
        <w:t xml:space="preserve"> </w:t>
      </w:r>
      <w:proofErr w:type="spellStart"/>
      <w:r w:rsidRPr="00E940D1">
        <w:rPr>
          <w:b/>
          <w:bCs/>
        </w:rPr>
        <w:t>Mashinani</w:t>
      </w:r>
      <w:proofErr w:type="spellEnd"/>
      <w:r w:rsidRPr="00E940D1">
        <w:rPr>
          <w:b/>
          <w:bCs/>
        </w:rPr>
        <w:t>”</w:t>
      </w:r>
      <w:r w:rsidRPr="00E940D1">
        <w:t> and demonstrating </w:t>
      </w:r>
      <w:proofErr w:type="spellStart"/>
      <w:r w:rsidRPr="00E940D1">
        <w:rPr>
          <w:b/>
          <w:bCs/>
        </w:rPr>
        <w:t>Tusichome</w:t>
      </w:r>
      <w:proofErr w:type="spellEnd"/>
      <w:r w:rsidRPr="00E940D1">
        <w:rPr>
          <w:b/>
          <w:bCs/>
        </w:rPr>
        <w:t xml:space="preserve"> Brand in action</w:t>
      </w:r>
      <w:r w:rsidRPr="00E940D1">
        <w:t>, it delivers tangible safety and integrity outcomes while strengthening the company’s social license to operate. The trained </w:t>
      </w:r>
      <w:r w:rsidRPr="00E940D1">
        <w:rPr>
          <w:b/>
          <w:bCs/>
        </w:rPr>
        <w:t>Community Power Champions</w:t>
      </w:r>
      <w:r w:rsidRPr="00E940D1">
        <w:t xml:space="preserve"> will ensure message sustainability, and the documented model will provide a blueprint for scaling to other counties under the Pamoja </w:t>
      </w:r>
      <w:proofErr w:type="spellStart"/>
      <w:r w:rsidRPr="00E940D1">
        <w:t>Twang’aa</w:t>
      </w:r>
      <w:proofErr w:type="spellEnd"/>
      <w:r w:rsidRPr="00E940D1">
        <w:t xml:space="preserve"> framework, offering long-term institutional value for Kenya Power.</w:t>
      </w:r>
    </w:p>
    <w:p w14:paraId="13046EEF" w14:textId="77777777" w:rsidR="009A4569" w:rsidRDefault="009A4569" w:rsidP="00E940D1"/>
    <w:p w14:paraId="059236DB" w14:textId="276CC669" w:rsidR="00E940D1" w:rsidRPr="00E940D1" w:rsidRDefault="00E940D1" w:rsidP="00E940D1">
      <w:pPr>
        <w:rPr>
          <w:b/>
          <w:bCs/>
        </w:rPr>
      </w:pPr>
      <w:r w:rsidRPr="00E940D1">
        <w:rPr>
          <w:b/>
          <w:bCs/>
        </w:rPr>
        <w:t>Proposal Prepared by:</w:t>
      </w:r>
    </w:p>
    <w:p w14:paraId="554F25CE" w14:textId="59718F89" w:rsidR="00E940D1" w:rsidRPr="00E940D1" w:rsidRDefault="00E940D1" w:rsidP="00E940D1">
      <w:r w:rsidRPr="00E940D1">
        <w:rPr>
          <w:b/>
          <w:bCs/>
        </w:rPr>
        <w:t>Christopher Khayere</w:t>
      </w:r>
      <w:r w:rsidRPr="00E940D1">
        <w:br/>
        <w:t>Staff No. KPL21233</w:t>
      </w:r>
      <w:r w:rsidRPr="00E940D1">
        <w:br/>
      </w:r>
      <w:r w:rsidR="009A4569">
        <w:t>0799874578</w:t>
      </w:r>
    </w:p>
    <w:p w14:paraId="18F3EFD2" w14:textId="77777777" w:rsidR="001D5933" w:rsidRDefault="001D5933"/>
    <w:sectPr w:rsidR="001D5933" w:rsidSect="009A4569">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A88EA" w14:textId="77777777" w:rsidR="0089195D" w:rsidRDefault="0089195D" w:rsidP="009A4569">
      <w:pPr>
        <w:spacing w:after="0" w:line="240" w:lineRule="auto"/>
      </w:pPr>
      <w:r>
        <w:separator/>
      </w:r>
    </w:p>
  </w:endnote>
  <w:endnote w:type="continuationSeparator" w:id="0">
    <w:p w14:paraId="7B7A83F0" w14:textId="77777777" w:rsidR="0089195D" w:rsidRDefault="0089195D" w:rsidP="009A4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4157587"/>
      <w:docPartObj>
        <w:docPartGallery w:val="Page Numbers (Bottom of Page)"/>
        <w:docPartUnique/>
      </w:docPartObj>
    </w:sdtPr>
    <w:sdtEndPr>
      <w:rPr>
        <w:color w:val="7F7F7F" w:themeColor="background1" w:themeShade="7F"/>
        <w:spacing w:val="60"/>
      </w:rPr>
    </w:sdtEndPr>
    <w:sdtContent>
      <w:p w14:paraId="45624706" w14:textId="7A1279E4" w:rsidR="009A4569" w:rsidRDefault="009A456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475CB2D" w14:textId="77777777" w:rsidR="009A4569" w:rsidRDefault="009A4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D5CFD" w14:textId="77777777" w:rsidR="0089195D" w:rsidRDefault="0089195D" w:rsidP="009A4569">
      <w:pPr>
        <w:spacing w:after="0" w:line="240" w:lineRule="auto"/>
      </w:pPr>
      <w:r>
        <w:separator/>
      </w:r>
    </w:p>
  </w:footnote>
  <w:footnote w:type="continuationSeparator" w:id="0">
    <w:p w14:paraId="5B2A96C3" w14:textId="77777777" w:rsidR="0089195D" w:rsidRDefault="0089195D" w:rsidP="009A4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E1730"/>
    <w:multiLevelType w:val="multilevel"/>
    <w:tmpl w:val="77743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7B5506"/>
    <w:multiLevelType w:val="multilevel"/>
    <w:tmpl w:val="3E68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1945630">
    <w:abstractNumId w:val="0"/>
  </w:num>
  <w:num w:numId="2" w16cid:durableId="265892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0D1"/>
    <w:rsid w:val="001D5933"/>
    <w:rsid w:val="002B573B"/>
    <w:rsid w:val="004A798A"/>
    <w:rsid w:val="0089195D"/>
    <w:rsid w:val="009A4569"/>
    <w:rsid w:val="00A134B2"/>
    <w:rsid w:val="00E94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8060F"/>
  <w15:chartTrackingRefBased/>
  <w15:docId w15:val="{37BFBB54-B595-451C-8550-E2677669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0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0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0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0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0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0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0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0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0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0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0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0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0D1"/>
    <w:rPr>
      <w:rFonts w:eastAsiaTheme="majorEastAsia" w:cstheme="majorBidi"/>
      <w:color w:val="272727" w:themeColor="text1" w:themeTint="D8"/>
    </w:rPr>
  </w:style>
  <w:style w:type="paragraph" w:styleId="Title">
    <w:name w:val="Title"/>
    <w:basedOn w:val="Normal"/>
    <w:next w:val="Normal"/>
    <w:link w:val="TitleChar"/>
    <w:uiPriority w:val="10"/>
    <w:qFormat/>
    <w:rsid w:val="00E94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0D1"/>
    <w:pPr>
      <w:spacing w:before="160"/>
      <w:jc w:val="center"/>
    </w:pPr>
    <w:rPr>
      <w:i/>
      <w:iCs/>
      <w:color w:val="404040" w:themeColor="text1" w:themeTint="BF"/>
    </w:rPr>
  </w:style>
  <w:style w:type="character" w:customStyle="1" w:styleId="QuoteChar">
    <w:name w:val="Quote Char"/>
    <w:basedOn w:val="DefaultParagraphFont"/>
    <w:link w:val="Quote"/>
    <w:uiPriority w:val="29"/>
    <w:rsid w:val="00E940D1"/>
    <w:rPr>
      <w:i/>
      <w:iCs/>
      <w:color w:val="404040" w:themeColor="text1" w:themeTint="BF"/>
    </w:rPr>
  </w:style>
  <w:style w:type="paragraph" w:styleId="ListParagraph">
    <w:name w:val="List Paragraph"/>
    <w:basedOn w:val="Normal"/>
    <w:uiPriority w:val="34"/>
    <w:qFormat/>
    <w:rsid w:val="00E940D1"/>
    <w:pPr>
      <w:ind w:left="720"/>
      <w:contextualSpacing/>
    </w:pPr>
  </w:style>
  <w:style w:type="character" w:styleId="IntenseEmphasis">
    <w:name w:val="Intense Emphasis"/>
    <w:basedOn w:val="DefaultParagraphFont"/>
    <w:uiPriority w:val="21"/>
    <w:qFormat/>
    <w:rsid w:val="00E940D1"/>
    <w:rPr>
      <w:i/>
      <w:iCs/>
      <w:color w:val="0F4761" w:themeColor="accent1" w:themeShade="BF"/>
    </w:rPr>
  </w:style>
  <w:style w:type="paragraph" w:styleId="IntenseQuote">
    <w:name w:val="Intense Quote"/>
    <w:basedOn w:val="Normal"/>
    <w:next w:val="Normal"/>
    <w:link w:val="IntenseQuoteChar"/>
    <w:uiPriority w:val="30"/>
    <w:qFormat/>
    <w:rsid w:val="00E94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0D1"/>
    <w:rPr>
      <w:i/>
      <w:iCs/>
      <w:color w:val="0F4761" w:themeColor="accent1" w:themeShade="BF"/>
    </w:rPr>
  </w:style>
  <w:style w:type="character" w:styleId="IntenseReference">
    <w:name w:val="Intense Reference"/>
    <w:basedOn w:val="DefaultParagraphFont"/>
    <w:uiPriority w:val="32"/>
    <w:qFormat/>
    <w:rsid w:val="00E940D1"/>
    <w:rPr>
      <w:b/>
      <w:bCs/>
      <w:smallCaps/>
      <w:color w:val="0F4761" w:themeColor="accent1" w:themeShade="BF"/>
      <w:spacing w:val="5"/>
    </w:rPr>
  </w:style>
  <w:style w:type="table" w:styleId="TableGrid">
    <w:name w:val="Table Grid"/>
    <w:basedOn w:val="TableNormal"/>
    <w:uiPriority w:val="39"/>
    <w:rsid w:val="00E94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4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569"/>
  </w:style>
  <w:style w:type="paragraph" w:styleId="Footer">
    <w:name w:val="footer"/>
    <w:basedOn w:val="Normal"/>
    <w:link w:val="FooterChar"/>
    <w:uiPriority w:val="99"/>
    <w:unhideWhenUsed/>
    <w:rsid w:val="009A4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Chumbe Khayere</dc:creator>
  <cp:keywords/>
  <dc:description/>
  <cp:lastModifiedBy>Christopher Chumbe Khayere</cp:lastModifiedBy>
  <cp:revision>1</cp:revision>
  <dcterms:created xsi:type="dcterms:W3CDTF">2026-01-14T09:59:00Z</dcterms:created>
  <dcterms:modified xsi:type="dcterms:W3CDTF">2026-01-14T10:14:00Z</dcterms:modified>
</cp:coreProperties>
</file>